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0BFB" w:rsidRPr="00E9198E" w:rsidRDefault="00C90BFB" w:rsidP="00A91857">
      <w:pPr>
        <w:pStyle w:val="Heading2"/>
      </w:pPr>
      <w:r w:rsidRPr="00E9198E">
        <w:t xml:space="preserve">Veto </w:t>
      </w:r>
      <w:r w:rsidR="00BE2A61">
        <w:t xml:space="preserve">Threat Bargaining </w:t>
      </w:r>
      <w:r w:rsidR="006C45AE">
        <w:t xml:space="preserve">With </w:t>
      </w:r>
      <w:r w:rsidR="00BE2A61">
        <w:t>a Bicameral Congress</w:t>
      </w:r>
    </w:p>
    <w:p w:rsidR="00C90BFB" w:rsidRDefault="00C90BFB" w:rsidP="00C90BFB">
      <w:pPr>
        <w:ind w:firstLine="0"/>
      </w:pPr>
    </w:p>
    <w:p w:rsidR="00C90BFB" w:rsidRDefault="00C90BFB" w:rsidP="00C90BFB">
      <w:pPr>
        <w:spacing w:line="240" w:lineRule="auto"/>
        <w:jc w:val="center"/>
      </w:pPr>
      <w:r>
        <w:t>Scott M. Guenther</w:t>
      </w:r>
    </w:p>
    <w:p w:rsidR="00C90BFB" w:rsidRDefault="00C90BFB" w:rsidP="00C90BFB">
      <w:pPr>
        <w:spacing w:line="240" w:lineRule="auto"/>
        <w:jc w:val="center"/>
      </w:pPr>
      <w:r>
        <w:t>University of California, San Diego</w:t>
      </w:r>
    </w:p>
    <w:p w:rsidR="00C90BFB" w:rsidRPr="00552806" w:rsidRDefault="00C90BFB" w:rsidP="00C90BFB">
      <w:pPr>
        <w:spacing w:line="240" w:lineRule="auto"/>
        <w:jc w:val="center"/>
        <w:rPr>
          <w:lang w:val="es-CL"/>
        </w:rPr>
      </w:pPr>
      <w:r>
        <w:t xml:space="preserve">9500 Gilman Dr. </w:t>
      </w:r>
      <w:r w:rsidRPr="00552806">
        <w:rPr>
          <w:lang w:val="es-CL"/>
        </w:rPr>
        <w:t>#0521, La Jolla, CA</w:t>
      </w:r>
      <w:r>
        <w:rPr>
          <w:lang w:val="es-CL"/>
        </w:rPr>
        <w:t xml:space="preserve"> </w:t>
      </w:r>
      <w:r w:rsidRPr="00552806">
        <w:rPr>
          <w:lang w:val="es-CL"/>
        </w:rPr>
        <w:t>92093</w:t>
      </w:r>
    </w:p>
    <w:p w:rsidR="00C90BFB" w:rsidRDefault="00C90BFB" w:rsidP="00C90BFB">
      <w:pPr>
        <w:spacing w:line="240" w:lineRule="auto"/>
        <w:jc w:val="center"/>
      </w:pPr>
      <w:r>
        <w:t>406-600-6683</w:t>
      </w:r>
    </w:p>
    <w:p w:rsidR="00C90BFB" w:rsidRDefault="00C90BFB" w:rsidP="00C90BFB">
      <w:pPr>
        <w:spacing w:line="240" w:lineRule="auto"/>
        <w:jc w:val="center"/>
      </w:pPr>
      <w:r>
        <w:t>sguenthe@ucsd.edu</w:t>
      </w:r>
    </w:p>
    <w:p w:rsidR="00C90BFB" w:rsidRDefault="00C90BFB" w:rsidP="00C90BFB">
      <w:pPr>
        <w:spacing w:line="240" w:lineRule="auto"/>
        <w:jc w:val="center"/>
      </w:pPr>
    </w:p>
    <w:p w:rsidR="00C90BFB" w:rsidRDefault="00C90BFB" w:rsidP="00C90BFB">
      <w:pPr>
        <w:spacing w:line="240" w:lineRule="auto"/>
        <w:jc w:val="center"/>
      </w:pPr>
      <w:r>
        <w:t xml:space="preserve">Samuel </w:t>
      </w:r>
      <w:proofErr w:type="spellStart"/>
      <w:r>
        <w:t>Kernell</w:t>
      </w:r>
      <w:proofErr w:type="spellEnd"/>
    </w:p>
    <w:p w:rsidR="00C90BFB" w:rsidRDefault="00C90BFB" w:rsidP="00C90BFB">
      <w:pPr>
        <w:spacing w:line="240" w:lineRule="auto"/>
        <w:jc w:val="center"/>
      </w:pPr>
      <w:r>
        <w:t>University of California, San Diego</w:t>
      </w:r>
    </w:p>
    <w:p w:rsidR="00C90BFB" w:rsidRPr="00552806" w:rsidRDefault="00C90BFB" w:rsidP="00C90BFB">
      <w:pPr>
        <w:spacing w:line="240" w:lineRule="auto"/>
        <w:jc w:val="center"/>
        <w:rPr>
          <w:lang w:val="es-CL"/>
        </w:rPr>
      </w:pPr>
      <w:r>
        <w:t xml:space="preserve">9500 Gilman Dr. </w:t>
      </w:r>
      <w:r w:rsidRPr="00552806">
        <w:rPr>
          <w:lang w:val="es-CL"/>
        </w:rPr>
        <w:t>#0521, La Jolla, CA</w:t>
      </w:r>
      <w:r>
        <w:rPr>
          <w:lang w:val="es-CL"/>
        </w:rPr>
        <w:t xml:space="preserve"> </w:t>
      </w:r>
      <w:r w:rsidRPr="00552806">
        <w:rPr>
          <w:lang w:val="es-CL"/>
        </w:rPr>
        <w:t>92093</w:t>
      </w:r>
    </w:p>
    <w:p w:rsidR="00C90BFB" w:rsidRPr="00CC4CB8" w:rsidRDefault="00C90BFB" w:rsidP="00C90BFB">
      <w:pPr>
        <w:spacing w:line="240" w:lineRule="auto"/>
        <w:jc w:val="center"/>
        <w:rPr>
          <w:lang w:val="es-CL"/>
        </w:rPr>
      </w:pPr>
      <w:r w:rsidRPr="00CC4CB8">
        <w:rPr>
          <w:lang w:val="es-CL"/>
        </w:rPr>
        <w:t xml:space="preserve">858-534-4988 </w:t>
      </w:r>
    </w:p>
    <w:p w:rsidR="00C90BFB" w:rsidRPr="00CC4CB8" w:rsidRDefault="00C90BFB" w:rsidP="00C90BFB">
      <w:pPr>
        <w:spacing w:line="240" w:lineRule="auto"/>
        <w:jc w:val="center"/>
        <w:rPr>
          <w:lang w:val="es-CL"/>
        </w:rPr>
      </w:pPr>
      <w:r w:rsidRPr="00CC4CB8">
        <w:rPr>
          <w:lang w:val="es-CL"/>
        </w:rPr>
        <w:t>skernell@ucsd.edu</w:t>
      </w:r>
    </w:p>
    <w:p w:rsidR="00C90BFB" w:rsidRDefault="00C90BFB" w:rsidP="00C90BFB">
      <w:pPr>
        <w:ind w:firstLine="0"/>
      </w:pPr>
    </w:p>
    <w:p w:rsidR="00C90BFB" w:rsidRDefault="00235E78" w:rsidP="00235E78">
      <w:pPr>
        <w:tabs>
          <w:tab w:val="center" w:pos="5040"/>
          <w:tab w:val="left" w:pos="6320"/>
        </w:tabs>
        <w:spacing w:line="360" w:lineRule="auto"/>
        <w:ind w:left="720" w:right="576" w:firstLine="0"/>
        <w:rPr>
          <w:b/>
        </w:rPr>
      </w:pPr>
      <w:r>
        <w:rPr>
          <w:b/>
        </w:rPr>
        <w:tab/>
      </w:r>
      <w:r w:rsidR="00C90BFB" w:rsidRPr="00E85945">
        <w:rPr>
          <w:b/>
        </w:rPr>
        <w:t>Abstract</w:t>
      </w:r>
      <w:r>
        <w:rPr>
          <w:b/>
        </w:rPr>
        <w:tab/>
      </w:r>
    </w:p>
    <w:p w:rsidR="00856721" w:rsidRDefault="00C90BFB" w:rsidP="00CD2CE1">
      <w:pPr>
        <w:spacing w:line="240" w:lineRule="auto"/>
        <w:ind w:left="720" w:right="576" w:firstLine="0"/>
        <w:sectPr w:rsidR="00856721">
          <w:headerReference w:type="even" r:id="rId8"/>
          <w:headerReference w:type="default" r:id="rId9"/>
          <w:footerReference w:type="even" r:id="rId10"/>
          <w:footerReference w:type="default" r:id="rId11"/>
          <w:headerReference w:type="first" r:id="rId12"/>
          <w:pgSz w:w="12240" w:h="15840"/>
          <w:pgMar w:top="864" w:right="1152" w:bottom="864" w:left="1152" w:gutter="0"/>
          <w:pgNumType w:start="0"/>
          <w:titlePg/>
          <w:docGrid w:linePitch="360"/>
        </w:sectPr>
      </w:pPr>
      <w:r>
        <w:t xml:space="preserve">Prevailing </w:t>
      </w:r>
      <w:r w:rsidR="00F71BF6">
        <w:t>theory</w:t>
      </w:r>
      <w:r>
        <w:t xml:space="preserve"> holds that</w:t>
      </w:r>
      <w:r w:rsidRPr="00D37315">
        <w:t xml:space="preserve"> </w:t>
      </w:r>
      <w:r w:rsidR="00D956DE">
        <w:t xml:space="preserve">presidents’ </w:t>
      </w:r>
      <w:r>
        <w:t xml:space="preserve">veto </w:t>
      </w:r>
      <w:r w:rsidR="00D956DE">
        <w:t>threats</w:t>
      </w:r>
      <w:r>
        <w:t xml:space="preserve"> </w:t>
      </w:r>
      <w:r w:rsidR="004030B4">
        <w:t>amount to little more than</w:t>
      </w:r>
      <w:r>
        <w:t xml:space="preserve"> ineffectual cheap tal</w:t>
      </w:r>
      <w:r w:rsidR="004030B4">
        <w:t>k</w:t>
      </w:r>
      <w:r w:rsidR="00F71BF6">
        <w:t>. W</w:t>
      </w:r>
      <w:r>
        <w:t xml:space="preserve">e </w:t>
      </w:r>
      <w:r w:rsidR="00D956DE">
        <w:t>argue, instead, that presidents can easily issue credible threats and frequently do. We propose a model of v</w:t>
      </w:r>
      <w:r w:rsidR="00C730EE">
        <w:t>eto threat bargaining</w:t>
      </w:r>
      <w:r w:rsidR="00F71BF6">
        <w:t xml:space="preserve"> </w:t>
      </w:r>
      <w:r w:rsidR="00D956DE">
        <w:t xml:space="preserve">that </w:t>
      </w:r>
      <w:r w:rsidR="00F71BF6">
        <w:t>re</w:t>
      </w:r>
      <w:r w:rsidR="00D15245">
        <w:t>-</w:t>
      </w:r>
      <w:r w:rsidR="00F71BF6">
        <w:t xml:space="preserve">situates </w:t>
      </w:r>
      <w:r w:rsidR="00EA5103">
        <w:t xml:space="preserve">the relevant transactions </w:t>
      </w:r>
      <w:r w:rsidR="00D956DE">
        <w:t>with</w:t>
      </w:r>
      <w:r w:rsidR="00EA5103">
        <w:t xml:space="preserve"> Congress</w:t>
      </w:r>
      <w:r w:rsidR="00D956DE">
        <w:t xml:space="preserve"> from the</w:t>
      </w:r>
      <w:r w:rsidR="00EA5103">
        <w:t xml:space="preserve"> late “take it or leave it” choice to earlier in </w:t>
      </w:r>
      <w:r w:rsidR="00D956DE">
        <w:t xml:space="preserve">deliberations </w:t>
      </w:r>
      <w:r w:rsidR="00AF2FB9">
        <w:t>as</w:t>
      </w:r>
      <w:r w:rsidR="00D956DE">
        <w:t xml:space="preserve"> </w:t>
      </w:r>
      <w:r w:rsidR="00334390">
        <w:t>legislators</w:t>
      </w:r>
      <w:r w:rsidR="00AF2FB9">
        <w:t xml:space="preserve"> decide their</w:t>
      </w:r>
      <w:r w:rsidR="00334390">
        <w:t xml:space="preserve"> collective</w:t>
      </w:r>
      <w:r w:rsidR="00D956DE">
        <w:t xml:space="preserve"> preferences. </w:t>
      </w:r>
      <w:r w:rsidR="00F71BF6">
        <w:t xml:space="preserve">We test this </w:t>
      </w:r>
      <w:r w:rsidR="00334390">
        <w:t>argument</w:t>
      </w:r>
      <w:r w:rsidR="00F71BF6">
        <w:t xml:space="preserve"> on </w:t>
      </w:r>
      <w:r w:rsidR="00052CED">
        <w:t xml:space="preserve">the population of </w:t>
      </w:r>
      <w:r w:rsidR="00AF2FB9">
        <w:t xml:space="preserve">threatened </w:t>
      </w:r>
      <w:r w:rsidR="00C730EE">
        <w:t xml:space="preserve">authorization </w:t>
      </w:r>
      <w:r w:rsidR="002827A8">
        <w:t>bill</w:t>
      </w:r>
      <w:r w:rsidR="004030B4">
        <w:t>s</w:t>
      </w:r>
      <w:r w:rsidR="00AF2FB9">
        <w:t xml:space="preserve"> and a matched sample un</w:t>
      </w:r>
      <w:r w:rsidR="00D15245">
        <w:t xml:space="preserve">threatened </w:t>
      </w:r>
      <w:r w:rsidR="00AF2FB9">
        <w:t xml:space="preserve">bills </w:t>
      </w:r>
      <w:r w:rsidR="00D15245">
        <w:t xml:space="preserve">from 1985 through 2008. </w:t>
      </w:r>
      <w:r>
        <w:t xml:space="preserve">The results are unambiguous. </w:t>
      </w:r>
      <w:r w:rsidR="00714769">
        <w:t xml:space="preserve">Veto </w:t>
      </w:r>
      <w:r>
        <w:t>threat</w:t>
      </w:r>
      <w:r w:rsidR="00714769">
        <w:t>s</w:t>
      </w:r>
      <w:r w:rsidR="0005337C">
        <w:t xml:space="preserve"> sharply </w:t>
      </w:r>
      <w:r w:rsidR="00D15245">
        <w:t xml:space="preserve">increase the probability that </w:t>
      </w:r>
      <w:r w:rsidR="00AF2FB9">
        <w:t>Congress modif</w:t>
      </w:r>
      <w:r w:rsidR="00714769">
        <w:t>ies</w:t>
      </w:r>
      <w:r w:rsidR="00AF2FB9">
        <w:t xml:space="preserve"> </w:t>
      </w:r>
      <w:r w:rsidR="00714769">
        <w:t>or removes</w:t>
      </w:r>
      <w:r w:rsidR="00334390">
        <w:t xml:space="preserve"> objectionable</w:t>
      </w:r>
      <w:r w:rsidR="00D15245">
        <w:t xml:space="preserve"> provision</w:t>
      </w:r>
      <w:r w:rsidR="00714769">
        <w:t>s</w:t>
      </w:r>
      <w:r w:rsidR="00445315">
        <w:t xml:space="preserve"> at every stage of deliberations</w:t>
      </w:r>
      <w:r w:rsidR="002827A8">
        <w:t>.</w:t>
      </w:r>
      <w:r w:rsidR="00D1156E">
        <w:t xml:space="preserve"> </w:t>
      </w:r>
      <w:r w:rsidR="00714769">
        <w:t xml:space="preserve">Moreover, </w:t>
      </w:r>
      <w:r w:rsidR="00445315">
        <w:t>the legislative process itself shifts toward a House-initiated bicameral haggling sequence.</w:t>
      </w:r>
      <w:r w:rsidR="00714769">
        <w:t xml:space="preserve"> </w:t>
      </w:r>
      <w:r w:rsidR="00AF2FB9">
        <w:t xml:space="preserve">Veto </w:t>
      </w:r>
      <w:r w:rsidR="00334390">
        <w:t xml:space="preserve">threat bargaining offers presidents and Congress the </w:t>
      </w:r>
      <w:r w:rsidR="0063128C">
        <w:t>wherewithal</w:t>
      </w:r>
      <w:r w:rsidR="00334390">
        <w:t xml:space="preserve"> to navigate past </w:t>
      </w:r>
      <w:r w:rsidR="00714769">
        <w:t xml:space="preserve">divided government’s </w:t>
      </w:r>
      <w:r w:rsidR="00334390">
        <w:t xml:space="preserve">partisan and ideological </w:t>
      </w:r>
      <w:r w:rsidR="00AF2FB9">
        <w:t xml:space="preserve">divisions </w:t>
      </w:r>
      <w:r w:rsidR="00334390">
        <w:t>to discover new policy mutually preferred to the status quo.</w:t>
      </w:r>
    </w:p>
    <w:p w:rsidR="00C90BFB" w:rsidRDefault="001770C2" w:rsidP="00C90BFB">
      <w:r>
        <w:t>In his 2015 State of the Union address</w:t>
      </w:r>
      <w:r w:rsidR="00C90BFB">
        <w:t xml:space="preserve"> President </w:t>
      </w:r>
      <w:proofErr w:type="spellStart"/>
      <w:r w:rsidR="00C90BFB">
        <w:t>Obama</w:t>
      </w:r>
      <w:proofErr w:type="spellEnd"/>
      <w:r w:rsidR="00C90BFB">
        <w:t xml:space="preserve"> set the tone of his relations with the new Republican Congress by threatening to veto five different Republican initiatives. During the first ten weeks of the new session, he followed these up with seventeen Statements of Administration Policy (</w:t>
      </w:r>
      <w:proofErr w:type="spellStart"/>
      <w:r w:rsidR="00C90BFB">
        <w:t>SAPs</w:t>
      </w:r>
      <w:proofErr w:type="spellEnd"/>
      <w:r w:rsidR="00C90BFB">
        <w:t xml:space="preserve">) to Republican House and Senate floor leaders in which he threatened to veto legislation awaiting floor action. </w:t>
      </w:r>
      <w:proofErr w:type="spellStart"/>
      <w:r w:rsidR="00C90BFB">
        <w:t>Obama</w:t>
      </w:r>
      <w:proofErr w:type="spellEnd"/>
      <w:r w:rsidR="00C90BFB">
        <w:t xml:space="preserve"> may have gotten off to a faster start than his predecessors in </w:t>
      </w:r>
      <w:r w:rsidR="00FA2E61">
        <w:t>threatening</w:t>
      </w:r>
      <w:r w:rsidR="00C90BFB">
        <w:t xml:space="preserve"> the new opposition Congress, </w:t>
      </w:r>
      <w:r w:rsidR="00FA2E61">
        <w:t xml:space="preserve">but as shown in Figure 1, presidents’ reliance on </w:t>
      </w:r>
      <w:r w:rsidR="00C90BFB">
        <w:t xml:space="preserve">veto </w:t>
      </w:r>
      <w:r w:rsidR="00FA2E61">
        <w:t>rhetoric</w:t>
      </w:r>
      <w:r w:rsidR="00C90BFB">
        <w:t xml:space="preserve"> </w:t>
      </w:r>
      <w:r w:rsidR="00FA2E61">
        <w:t>has become</w:t>
      </w:r>
      <w:r w:rsidR="00C90BFB">
        <w:t xml:space="preserve"> </w:t>
      </w:r>
      <w:r w:rsidR="00833E54">
        <w:t>common</w:t>
      </w:r>
      <w:r w:rsidR="00FA2E61">
        <w:t>place</w:t>
      </w:r>
      <w:r w:rsidR="00C90BFB">
        <w:t xml:space="preserve">. </w:t>
      </w:r>
    </w:p>
    <w:p w:rsidR="00C90BFB" w:rsidRDefault="00AC095F" w:rsidP="00C90BFB">
      <w:pPr>
        <w:jc w:val="center"/>
      </w:pPr>
      <w:r>
        <w:t>[</w:t>
      </w:r>
      <w:r w:rsidR="00C90BFB">
        <w:t>Figure 1 here</w:t>
      </w:r>
      <w:r>
        <w:t>]</w:t>
      </w:r>
    </w:p>
    <w:p w:rsidR="00C90BFB" w:rsidRDefault="00C90BFB" w:rsidP="00C90BFB">
      <w:r>
        <w:t xml:space="preserve">Also evident in Figure 1, the heavy use of veto rhetoric has not </w:t>
      </w:r>
      <w:r w:rsidR="0084342E">
        <w:t xml:space="preserve">ramped up </w:t>
      </w:r>
      <w:r>
        <w:t>vetoes. Except for G.H.W. Bush during the 99</w:t>
      </w:r>
      <w:r w:rsidRPr="00E9635D">
        <w:rPr>
          <w:vertAlign w:val="superscript"/>
        </w:rPr>
        <w:t>th</w:t>
      </w:r>
      <w:r>
        <w:t xml:space="preserve"> and 100</w:t>
      </w:r>
      <w:r w:rsidRPr="00E9635D">
        <w:rPr>
          <w:vertAlign w:val="superscript"/>
        </w:rPr>
        <w:t>th</w:t>
      </w:r>
      <w:r>
        <w:t xml:space="preserve"> Congresses</w:t>
      </w:r>
      <w:r w:rsidR="006475B6">
        <w:t xml:space="preserve"> (1989-1992)</w:t>
      </w:r>
      <w:r>
        <w:t>, presidents have average</w:t>
      </w:r>
      <w:r w:rsidR="0084342E">
        <w:t>d about</w:t>
      </w:r>
      <w:r>
        <w:t xml:space="preserve"> a dozen </w:t>
      </w:r>
      <w:r w:rsidR="0084342E">
        <w:t>vetoes each</w:t>
      </w:r>
      <w:r>
        <w:t xml:space="preserve"> Congress</w:t>
      </w:r>
      <w:r w:rsidR="0084342E">
        <w:t>.</w:t>
      </w:r>
      <w:r>
        <w:t xml:space="preserve"> Why recent presidents have </w:t>
      </w:r>
      <w:r w:rsidR="00FA2E61">
        <w:t>issued so many</w:t>
      </w:r>
      <w:r>
        <w:t xml:space="preserve"> veto threats </w:t>
      </w:r>
      <w:r w:rsidR="00FA2E61">
        <w:t>and yet relatively few actual vetoes</w:t>
      </w:r>
      <w:r>
        <w:t xml:space="preserve"> is a quest</w:t>
      </w:r>
      <w:r w:rsidR="0084342E">
        <w:t xml:space="preserve">ion that motivated </w:t>
      </w:r>
      <w:r w:rsidR="00FA2E61">
        <w:t>our</w:t>
      </w:r>
      <w:r w:rsidR="0084342E">
        <w:t xml:space="preserve"> inquiry</w:t>
      </w:r>
      <w:r>
        <w:t xml:space="preserve">.  </w:t>
      </w:r>
      <w:r w:rsidR="00CC5891">
        <w:t xml:space="preserve">Perhaps </w:t>
      </w:r>
      <w:r>
        <w:t>veto threats elicit the desi</w:t>
      </w:r>
      <w:r w:rsidR="00CC5891">
        <w:t xml:space="preserve">red </w:t>
      </w:r>
      <w:r w:rsidR="00FA2E61">
        <w:t>policy concessions</w:t>
      </w:r>
      <w:r w:rsidR="00CC5891">
        <w:t xml:space="preserve"> from Congress</w:t>
      </w:r>
      <w:r w:rsidR="0063128C">
        <w:t>,</w:t>
      </w:r>
      <w:r>
        <w:t xml:space="preserve"> render</w:t>
      </w:r>
      <w:r w:rsidR="00CC5891">
        <w:t>ing</w:t>
      </w:r>
      <w:r>
        <w:t xml:space="preserve"> vetoes unnecessary</w:t>
      </w:r>
      <w:r w:rsidR="00CC5891">
        <w:t>.</w:t>
      </w:r>
      <w:r>
        <w:t xml:space="preserve"> Or perhaps </w:t>
      </w:r>
      <w:r w:rsidR="00FA2E61">
        <w:t xml:space="preserve">the prospect of a </w:t>
      </w:r>
      <w:r>
        <w:t xml:space="preserve">veto </w:t>
      </w:r>
      <w:r w:rsidR="00FA2E61">
        <w:t>suffices to kill targeted legislation</w:t>
      </w:r>
      <w:r w:rsidR="00CC5891">
        <w:t xml:space="preserve">. </w:t>
      </w:r>
      <w:r>
        <w:t xml:space="preserve"> Either way, veto rhetoric </w:t>
      </w:r>
      <w:r w:rsidR="00FA2E61">
        <w:t>would offer presidents an effective instrument for warding off objectionable policies from an opposition Congress</w:t>
      </w:r>
      <w:r>
        <w:t>.</w:t>
      </w:r>
    </w:p>
    <w:p w:rsidR="0084342E" w:rsidRDefault="00256DA9" w:rsidP="00C90BFB">
      <w:r>
        <w:t>The frequencies in Figure 1 are also consistent</w:t>
      </w:r>
      <w:r w:rsidR="0084342E">
        <w:t>, however,</w:t>
      </w:r>
      <w:r>
        <w:t xml:space="preserve"> with </w:t>
      </w:r>
      <w:r w:rsidR="00FA2E61">
        <w:t xml:space="preserve">less salutary </w:t>
      </w:r>
      <w:r w:rsidR="0084342E">
        <w:t xml:space="preserve">scenarios </w:t>
      </w:r>
      <w:r w:rsidR="00FA2E61">
        <w:t>for</w:t>
      </w:r>
      <w:r w:rsidR="0084342E">
        <w:t xml:space="preserve"> presidential power</w:t>
      </w:r>
      <w:r w:rsidR="00FA2E61">
        <w:t>.</w:t>
      </w:r>
      <w:r w:rsidR="0084342E">
        <w:t xml:space="preserve"> </w:t>
      </w:r>
      <w:r w:rsidR="00CC5891">
        <w:t>Presidents may issue veto threats</w:t>
      </w:r>
      <w:r w:rsidR="00C90BFB">
        <w:t xml:space="preserve"> merely </w:t>
      </w:r>
      <w:r w:rsidR="00CC5891">
        <w:t xml:space="preserve">to </w:t>
      </w:r>
      <w:r w:rsidR="0084342E">
        <w:t>curry favor with</w:t>
      </w:r>
      <w:r w:rsidR="00C90BFB">
        <w:t xml:space="preserve"> special constituencies </w:t>
      </w:r>
      <w:r w:rsidR="00FA2E61">
        <w:t xml:space="preserve">opposed to a bill </w:t>
      </w:r>
      <w:r w:rsidR="00CC5891">
        <w:t>before</w:t>
      </w:r>
      <w:r w:rsidR="00C90BFB">
        <w:t xml:space="preserve"> </w:t>
      </w:r>
      <w:r w:rsidR="00CC5891">
        <w:t xml:space="preserve">eventually </w:t>
      </w:r>
      <w:r w:rsidR="00C90BFB">
        <w:t xml:space="preserve">caving in </w:t>
      </w:r>
      <w:r w:rsidR="00CC5891">
        <w:t xml:space="preserve">and signing </w:t>
      </w:r>
      <w:r w:rsidR="00F8320B">
        <w:t>it</w:t>
      </w:r>
      <w:r w:rsidR="00CC5891">
        <w:t>. Or they may threaten</w:t>
      </w:r>
      <w:r w:rsidR="0084342E">
        <w:t xml:space="preserve"> unpopular legislation</w:t>
      </w:r>
      <w:r w:rsidR="00CC5891">
        <w:t xml:space="preserve"> </w:t>
      </w:r>
      <w:r w:rsidR="00F8320B">
        <w:t>in</w:t>
      </w:r>
      <w:r w:rsidR="00CC5891">
        <w:t xml:space="preserve"> </w:t>
      </w:r>
      <w:r w:rsidR="0084342E">
        <w:t>anticipat</w:t>
      </w:r>
      <w:r w:rsidR="00F8320B">
        <w:t>ion that it</w:t>
      </w:r>
      <w:r>
        <w:t xml:space="preserve"> will eventually fail </w:t>
      </w:r>
      <w:r w:rsidR="00F8320B">
        <w:t>and provide</w:t>
      </w:r>
      <w:r w:rsidR="0084342E">
        <w:t xml:space="preserve"> them a chance to </w:t>
      </w:r>
      <w:r>
        <w:t xml:space="preserve">claim credit for </w:t>
      </w:r>
      <w:r w:rsidR="00F8320B">
        <w:t>its</w:t>
      </w:r>
      <w:r>
        <w:t xml:space="preserve"> defeat. </w:t>
      </w:r>
      <w:r w:rsidR="0084342E">
        <w:t xml:space="preserve">So, the plethora of veto threats combined with the relative paucity of actual vetoes in themselves tell us almost nothing about </w:t>
      </w:r>
      <w:r w:rsidR="0063128C">
        <w:t>the</w:t>
      </w:r>
      <w:r w:rsidR="0084342E">
        <w:t xml:space="preserve"> </w:t>
      </w:r>
      <w:r w:rsidR="00F8320B">
        <w:t>influence o</w:t>
      </w:r>
      <w:r w:rsidR="0063128C">
        <w:t>f veto rhetoric on</w:t>
      </w:r>
      <w:r w:rsidR="00F8320B">
        <w:t xml:space="preserve"> legislation</w:t>
      </w:r>
      <w:r>
        <w:t xml:space="preserve">. </w:t>
      </w:r>
    </w:p>
    <w:p w:rsidR="006755F7" w:rsidRDefault="00256DA9" w:rsidP="00C90BFB">
      <w:r>
        <w:t xml:space="preserve">The </w:t>
      </w:r>
      <w:r w:rsidR="009C3B0D">
        <w:t>fundamental</w:t>
      </w:r>
      <w:r>
        <w:t xml:space="preserve"> problem </w:t>
      </w:r>
      <w:r w:rsidR="009C3B0D">
        <w:t xml:space="preserve">with </w:t>
      </w:r>
      <w:r w:rsidR="0084342E">
        <w:t>veto</w:t>
      </w:r>
      <w:r w:rsidR="00F8320B">
        <w:t xml:space="preserve"> rhetoric concerns its </w:t>
      </w:r>
      <w:r>
        <w:t xml:space="preserve">credibility.  </w:t>
      </w:r>
      <w:r w:rsidR="009C3B0D">
        <w:t xml:space="preserve">If presidents can say one thing and do another, what, if anything, can legislators learn from presidents’ messages as they draft </w:t>
      </w:r>
      <w:r w:rsidR="00C25AAD">
        <w:t>legislation</w:t>
      </w:r>
      <w:r w:rsidR="009C3B0D">
        <w:t xml:space="preserve">?  The </w:t>
      </w:r>
      <w:r w:rsidR="00833E54">
        <w:t xml:space="preserve">prevailing </w:t>
      </w:r>
      <w:r w:rsidR="009C3B0D">
        <w:t xml:space="preserve">answer </w:t>
      </w:r>
      <w:r w:rsidR="00F8320B">
        <w:t xml:space="preserve">from political science </w:t>
      </w:r>
      <w:r w:rsidR="009C3B0D">
        <w:t xml:space="preserve">is, very little.  This “cheap talk” problem has led scholars to suggest ways – in some cases, </w:t>
      </w:r>
      <w:r w:rsidR="0063128C">
        <w:t xml:space="preserve">involving </w:t>
      </w:r>
      <w:r w:rsidR="009C3B0D">
        <w:t>extraordinary effort – presidents might increase their credibility and hence t</w:t>
      </w:r>
      <w:r w:rsidR="00D8654D">
        <w:t xml:space="preserve">he impact of their threats.  We argue that these concerns are over blown. Modern </w:t>
      </w:r>
      <w:r w:rsidR="00C90BFB">
        <w:t xml:space="preserve">presidents </w:t>
      </w:r>
      <w:r w:rsidR="0063128C">
        <w:t>routinely send legislators</w:t>
      </w:r>
      <w:r w:rsidR="00ED2E5A">
        <w:t xml:space="preserve"> credibl</w:t>
      </w:r>
      <w:r w:rsidR="0063128C">
        <w:t>e</w:t>
      </w:r>
      <w:r w:rsidR="00ED2E5A">
        <w:t xml:space="preserve"> signal</w:t>
      </w:r>
      <w:r w:rsidR="0063128C">
        <w:t>s</w:t>
      </w:r>
      <w:r w:rsidR="00F8320B">
        <w:t xml:space="preserve"> about </w:t>
      </w:r>
      <w:r w:rsidR="00ED2E5A">
        <w:t>th</w:t>
      </w:r>
      <w:r w:rsidR="00833E54">
        <w:t xml:space="preserve">eir preferences </w:t>
      </w:r>
      <w:r w:rsidR="00F8320B">
        <w:t xml:space="preserve">and likely reactions </w:t>
      </w:r>
      <w:r w:rsidR="00ED2E5A">
        <w:t xml:space="preserve">to </w:t>
      </w:r>
      <w:r w:rsidR="0063128C">
        <w:t xml:space="preserve">pending </w:t>
      </w:r>
      <w:r w:rsidR="00ED2E5A">
        <w:t xml:space="preserve">legislation. These signals allow these </w:t>
      </w:r>
      <w:r w:rsidR="0063128C">
        <w:t>politicians</w:t>
      </w:r>
      <w:r w:rsidR="00ED2E5A">
        <w:t xml:space="preserve"> </w:t>
      </w:r>
      <w:r w:rsidR="00D8654D">
        <w:t>to bargain with each other</w:t>
      </w:r>
      <w:r w:rsidR="0063128C">
        <w:t xml:space="preserve"> across the institutional and partisan divides</w:t>
      </w:r>
      <w:r w:rsidR="00C90BFB">
        <w:t xml:space="preserve">. </w:t>
      </w:r>
      <w:r w:rsidR="00D8654D">
        <w:t xml:space="preserve">The real question, we argue, is not whether presidents can </w:t>
      </w:r>
      <w:r w:rsidR="00ED2E5A">
        <w:t xml:space="preserve">credibly </w:t>
      </w:r>
      <w:r w:rsidR="00B93060">
        <w:t>communicate with Congress,</w:t>
      </w:r>
      <w:r w:rsidR="00ED2E5A">
        <w:t xml:space="preserve"> but rather </w:t>
      </w:r>
      <w:r w:rsidR="00B93060">
        <w:t xml:space="preserve">having done so, </w:t>
      </w:r>
      <w:r w:rsidR="0063128C">
        <w:t>whether this</w:t>
      </w:r>
      <w:r w:rsidR="006755F7">
        <w:t xml:space="preserve"> information </w:t>
      </w:r>
      <w:r w:rsidR="0063128C">
        <w:t>influences</w:t>
      </w:r>
      <w:r w:rsidR="006755F7">
        <w:t xml:space="preserve"> congressional deliberations and </w:t>
      </w:r>
      <w:r w:rsidR="0063128C">
        <w:t>the policy content of legislation</w:t>
      </w:r>
      <w:r w:rsidR="006755F7">
        <w:t xml:space="preserve">. </w:t>
      </w:r>
      <w:r w:rsidR="00ED2E5A">
        <w:t xml:space="preserve"> </w:t>
      </w:r>
    </w:p>
    <w:p w:rsidR="00C90BFB" w:rsidRPr="00892ABA" w:rsidRDefault="00B93060" w:rsidP="00C90BFB">
      <w:r>
        <w:t xml:space="preserve">After </w:t>
      </w:r>
      <w:r w:rsidR="0063128C">
        <w:t xml:space="preserve">considering and </w:t>
      </w:r>
      <w:r>
        <w:t xml:space="preserve">dismissing the cheap talk issue in the next section, we propose </w:t>
      </w:r>
      <w:r w:rsidR="00A11CD6">
        <w:t xml:space="preserve">in Section III </w:t>
      </w:r>
      <w:r>
        <w:t>a model of veto threat bargaining between presidents and opposition</w:t>
      </w:r>
      <w:r w:rsidR="0063128C">
        <w:t>-party</w:t>
      </w:r>
      <w:r>
        <w:t xml:space="preserve"> legislators</w:t>
      </w:r>
      <w:r w:rsidR="0063128C">
        <w:t xml:space="preserve"> in</w:t>
      </w:r>
      <w:r>
        <w:t xml:space="preserve"> control </w:t>
      </w:r>
      <w:r w:rsidR="0063128C">
        <w:t xml:space="preserve">of </w:t>
      </w:r>
      <w:r>
        <w:t>one or both chambers of Congress. Such a m</w:t>
      </w:r>
      <w:r w:rsidR="00FB5B62">
        <w:t xml:space="preserve">odel </w:t>
      </w:r>
      <w:r>
        <w:t xml:space="preserve">must </w:t>
      </w:r>
      <w:r w:rsidR="00FB5B62">
        <w:t xml:space="preserve">take into account </w:t>
      </w:r>
      <w:r>
        <w:t xml:space="preserve">both </w:t>
      </w:r>
      <w:r w:rsidR="00FB5B62">
        <w:t>party competition and th</w:t>
      </w:r>
      <w:r w:rsidR="00A11CD6">
        <w:t>os</w:t>
      </w:r>
      <w:r w:rsidR="00FB5B62">
        <w:t xml:space="preserve">e institutional </w:t>
      </w:r>
      <w:r w:rsidR="00A11CD6">
        <w:t xml:space="preserve">features that expose </w:t>
      </w:r>
      <w:r w:rsidR="0063128C">
        <w:t xml:space="preserve">or insulate </w:t>
      </w:r>
      <w:r w:rsidR="00A11CD6">
        <w:t xml:space="preserve">a chamber from veto threats. </w:t>
      </w:r>
      <w:r w:rsidR="00C90BFB">
        <w:t xml:space="preserve">To test </w:t>
      </w:r>
      <w:r w:rsidR="00A11CD6">
        <w:t>the model’s predictions,</w:t>
      </w:r>
      <w:r w:rsidR="00C90BFB">
        <w:t xml:space="preserve"> </w:t>
      </w:r>
      <w:r w:rsidR="00E25B9F">
        <w:t xml:space="preserve">we introduce </w:t>
      </w:r>
      <w:r w:rsidR="00A11CD6">
        <w:t xml:space="preserve">in Section IV </w:t>
      </w:r>
      <w:r w:rsidR="00C90BFB">
        <w:t xml:space="preserve">the legislative histories of all </w:t>
      </w:r>
      <w:r w:rsidR="00515EED">
        <w:t>164</w:t>
      </w:r>
      <w:r w:rsidR="00C90BFB">
        <w:t xml:space="preserve"> </w:t>
      </w:r>
      <w:r w:rsidR="00A11CD6">
        <w:t xml:space="preserve">enrolled </w:t>
      </w:r>
      <w:r w:rsidR="00C90BFB">
        <w:t xml:space="preserve">authorization bills that presidents had threatened to veto in a SAP during the years 1985 through 2008. </w:t>
      </w:r>
      <w:r w:rsidR="00833E54">
        <w:t>Furthermore</w:t>
      </w:r>
      <w:r w:rsidR="006755F7">
        <w:t xml:space="preserve">, </w:t>
      </w:r>
      <w:r w:rsidR="00A11CD6">
        <w:t xml:space="preserve">to </w:t>
      </w:r>
      <w:r w:rsidR="00E25B9F">
        <w:t>test the impact of</w:t>
      </w:r>
      <w:r w:rsidR="00A11CD6">
        <w:t xml:space="preserve"> veto threats on the substance of legislation </w:t>
      </w:r>
      <w:r w:rsidR="006755F7">
        <w:t xml:space="preserve">we separately </w:t>
      </w:r>
      <w:r w:rsidR="00833E54">
        <w:t xml:space="preserve">track </w:t>
      </w:r>
      <w:r w:rsidR="00E25B9F">
        <w:t>the</w:t>
      </w:r>
      <w:r w:rsidR="00833E54">
        <w:t xml:space="preserve"> survival</w:t>
      </w:r>
      <w:r w:rsidR="006755F7">
        <w:t xml:space="preserve"> of the </w:t>
      </w:r>
      <w:r w:rsidR="00515EED">
        <w:t>876</w:t>
      </w:r>
      <w:r w:rsidR="00C90BFB">
        <w:t xml:space="preserve"> </w:t>
      </w:r>
      <w:r w:rsidR="00E25B9F">
        <w:t xml:space="preserve">initially introduced </w:t>
      </w:r>
      <w:r w:rsidR="00C90BFB">
        <w:t>provisions</w:t>
      </w:r>
      <w:r w:rsidR="006755F7">
        <w:t xml:space="preserve"> </w:t>
      </w:r>
      <w:r w:rsidR="00E25B9F">
        <w:t>to which presidents specifically took exception in their veto threat</w:t>
      </w:r>
      <w:r w:rsidR="00A11CD6">
        <w:t>.</w:t>
      </w:r>
      <w:r w:rsidR="00C90BFB">
        <w:t xml:space="preserve"> The statistical relationships reported in Section V broadly confirm the pervasive impact of veto rhetoric – and hence, presidential influence – on both process and on policy. </w:t>
      </w:r>
    </w:p>
    <w:p w:rsidR="00C90BFB" w:rsidRDefault="00C90BFB" w:rsidP="00C90BFB">
      <w:pPr>
        <w:pStyle w:val="Heading2"/>
      </w:pPr>
      <w:r>
        <w:t>II. Veto Rhetoric</w:t>
      </w:r>
      <w:r w:rsidR="00202284">
        <w:t>:</w:t>
      </w:r>
      <w:r>
        <w:t xml:space="preserve"> Cheap Talk </w:t>
      </w:r>
      <w:r w:rsidR="00202284">
        <w:t>Or Credible Threat?</w:t>
      </w:r>
    </w:p>
    <w:p w:rsidR="00C90BFB" w:rsidRPr="00C80A9B" w:rsidRDefault="00C90BFB" w:rsidP="00C90BFB">
      <w:r>
        <w:t xml:space="preserve">Despite modern presidents’ heavy reliance on veto rhetoric, prevailing political science theory largely dismisses it as ineffective. Veto rhetoric suffers from a couple of serious limitations. First and foremost, presidents cannot effectively communicate their preferences via veto threats.  Second, even if they could, </w:t>
      </w:r>
      <w:r w:rsidR="00E25B9F">
        <w:t>Congress can still play the</w:t>
      </w:r>
      <w:r>
        <w:t xml:space="preserve"> ultimatum game</w:t>
      </w:r>
      <w:r w:rsidR="005F239B">
        <w:t xml:space="preserve"> </w:t>
      </w:r>
      <w:r w:rsidR="00E25B9F">
        <w:t>– presenting presidents with</w:t>
      </w:r>
      <w:r w:rsidR="005F239B">
        <w:t xml:space="preserve"> policies they barely prefer to </w:t>
      </w:r>
      <w:r>
        <w:t xml:space="preserve">the status quo.  Taken together, they portray presidents as </w:t>
      </w:r>
      <w:r w:rsidR="00E25B9F">
        <w:t xml:space="preserve">futilely </w:t>
      </w:r>
      <w:r>
        <w:t>engaging in cheap talk as they try to talk their way out of their “tak</w:t>
      </w:r>
      <w:r w:rsidR="005F239B">
        <w:t>e it or leave it” dilemma.  If presidents we</w:t>
      </w:r>
      <w:r>
        <w:t xml:space="preserve">re able to issue credible threats, both problems, we argue, </w:t>
      </w:r>
      <w:r w:rsidR="005F239B">
        <w:t xml:space="preserve">would largely disappear. </w:t>
      </w:r>
      <w:r w:rsidR="00A11CD6">
        <w:t xml:space="preserve">Presidents could then insert their preferences into developing legislation as </w:t>
      </w:r>
      <w:r>
        <w:t xml:space="preserve">if they were (singularly resourceful) legislators. </w:t>
      </w:r>
    </w:p>
    <w:p w:rsidR="00C90BFB" w:rsidRDefault="00C90BFB" w:rsidP="00C90BFB">
      <w:pPr>
        <w:pStyle w:val="Heading3"/>
        <w:framePr w:wrap="auto" w:vAnchor="margin" w:yAlign="inline"/>
      </w:pPr>
      <w:r w:rsidRPr="00C80A9B">
        <w:t>Cheap Talk, the Limits of Rhetoric</w:t>
      </w:r>
    </w:p>
    <w:p w:rsidR="00C90BFB" w:rsidRDefault="00C90BFB" w:rsidP="00C90BFB">
      <w:r w:rsidRPr="00C80A9B">
        <w:t>The fundamental</w:t>
      </w:r>
      <w:r>
        <w:t xml:space="preserve"> problem with veto rhetoric, according to cheap talk, is that presidents can only send uninformative </w:t>
      </w:r>
      <w:proofErr w:type="gramStart"/>
      <w:r>
        <w:t>messages,</w:t>
      </w:r>
      <w:proofErr w:type="gramEnd"/>
      <w:r>
        <w:t xml:space="preserve"> messages that prudent legislators cannot take seriously even </w:t>
      </w:r>
      <w:r w:rsidR="000735F9">
        <w:t xml:space="preserve">were </w:t>
      </w:r>
      <w:r>
        <w:t xml:space="preserve">they eager to learn the president’s policy preferences </w:t>
      </w:r>
      <w:r w:rsidRPr="003E74FB">
        <w:rPr>
          <w:noProof/>
        </w:rPr>
        <w:t xml:space="preserve">(Matthews 1985; Cameron 2000; Cameron and McCarty 2004). </w:t>
      </w:r>
      <w:r w:rsidRPr="003E74FB">
        <w:t>Unlike actual vetoes</w:t>
      </w:r>
      <w:r w:rsidR="005F239B">
        <w:t>, executive agreements</w:t>
      </w:r>
      <w:r>
        <w:t xml:space="preserve"> or executive orders, veto</w:t>
      </w:r>
      <w:r w:rsidRPr="003E74FB" w:rsidDel="004C727F">
        <w:t xml:space="preserve"> </w:t>
      </w:r>
      <w:r>
        <w:t>rhetoric does not commit presidents to a particular action</w:t>
      </w:r>
      <w:r w:rsidRPr="003E74FB">
        <w:t xml:space="preserve">. </w:t>
      </w:r>
      <w:r>
        <w:t>Presidents</w:t>
      </w:r>
      <w:r w:rsidRPr="003E74FB">
        <w:t xml:space="preserve"> can threaten a </w:t>
      </w:r>
      <w:r>
        <w:t>bill</w:t>
      </w:r>
      <w:r w:rsidRPr="003E74FB">
        <w:t xml:space="preserve"> one day and sign </w:t>
      </w:r>
      <w:r>
        <w:t>it the next</w:t>
      </w:r>
      <w:r w:rsidRPr="003E74FB">
        <w:t xml:space="preserve">. </w:t>
      </w:r>
      <w:r>
        <w:t xml:space="preserve">With presidents unable to communicate </w:t>
      </w:r>
      <w:r w:rsidR="005F239B">
        <w:t xml:space="preserve">with Congress </w:t>
      </w:r>
      <w:r>
        <w:t>except by their actions, cheap talk abets gridlock by severely limiting the capacity of these institutions to coordinate on mutually acceptable policy.</w:t>
      </w:r>
    </w:p>
    <w:p w:rsidR="00C90BFB" w:rsidRDefault="00C90BFB" w:rsidP="00C90BFB">
      <w:r>
        <w:rPr>
          <w:szCs w:val="23"/>
        </w:rPr>
        <w:t xml:space="preserve">The “veto threats as cheap talk” argument rests on assumptions that conform to the requirements of the generic cheap talk model in economics, where it has been employed </w:t>
      </w:r>
      <w:r w:rsidRPr="00E5328D">
        <w:rPr>
          <w:szCs w:val="23"/>
        </w:rPr>
        <w:t xml:space="preserve">to address a broad array of asymmetric information settings (Crawford and </w:t>
      </w:r>
      <w:proofErr w:type="spellStart"/>
      <w:r w:rsidRPr="00E5328D">
        <w:rPr>
          <w:szCs w:val="23"/>
        </w:rPr>
        <w:t>Sobel</w:t>
      </w:r>
      <w:proofErr w:type="spellEnd"/>
      <w:r w:rsidRPr="00E5328D">
        <w:rPr>
          <w:szCs w:val="23"/>
        </w:rPr>
        <w:t xml:space="preserve"> 1982)</w:t>
      </w:r>
      <w:r>
        <w:rPr>
          <w:szCs w:val="23"/>
        </w:rPr>
        <w:t xml:space="preserve">. Yet applying it to veto threats requires unsupportable, </w:t>
      </w:r>
      <w:r w:rsidRPr="00E5328D">
        <w:rPr>
          <w:szCs w:val="23"/>
        </w:rPr>
        <w:t xml:space="preserve">herculean assumptions </w:t>
      </w:r>
      <w:r>
        <w:rPr>
          <w:szCs w:val="23"/>
        </w:rPr>
        <w:t>about</w:t>
      </w:r>
      <w:r w:rsidRPr="00E5328D">
        <w:rPr>
          <w:szCs w:val="23"/>
        </w:rPr>
        <w:t xml:space="preserve"> presidential</w:t>
      </w:r>
      <w:r>
        <w:rPr>
          <w:szCs w:val="23"/>
        </w:rPr>
        <w:t>-congressional relations</w:t>
      </w:r>
      <w:r w:rsidRPr="00E5328D">
        <w:rPr>
          <w:szCs w:val="23"/>
        </w:rPr>
        <w:t>.</w:t>
      </w:r>
      <w:r>
        <w:rPr>
          <w:rStyle w:val="FootnoteReference"/>
        </w:rPr>
        <w:footnoteReference w:id="2"/>
      </w:r>
      <w:r>
        <w:rPr>
          <w:sz w:val="23"/>
          <w:szCs w:val="23"/>
        </w:rPr>
        <w:t xml:space="preserve"> </w:t>
      </w:r>
      <w:r>
        <w:t xml:space="preserve">First, </w:t>
      </w:r>
      <w:r w:rsidR="000735F9">
        <w:t>a</w:t>
      </w:r>
      <w:r>
        <w:t xml:space="preserve"> veto threat </w:t>
      </w:r>
      <w:r w:rsidR="000735F9">
        <w:t xml:space="preserve">must </w:t>
      </w:r>
      <w:r>
        <w:t xml:space="preserve">occur in a </w:t>
      </w:r>
      <w:r w:rsidRPr="003E74FB">
        <w:t>non-repeated game</w:t>
      </w:r>
      <w:r>
        <w:t xml:space="preserve">. </w:t>
      </w:r>
      <w:r w:rsidR="000735F9">
        <w:t>Otherwise</w:t>
      </w:r>
      <w:r>
        <w:t xml:space="preserve"> reputational considerations </w:t>
      </w:r>
      <w:r w:rsidR="00AC6B54">
        <w:t>would</w:t>
      </w:r>
      <w:r>
        <w:t xml:space="preserve"> </w:t>
      </w:r>
      <w:r w:rsidR="000735F9">
        <w:t>constrain</w:t>
      </w:r>
      <w:r>
        <w:t xml:space="preserve"> president</w:t>
      </w:r>
      <w:r w:rsidR="000735F9">
        <w:t xml:space="preserve">s to send credible </w:t>
      </w:r>
      <w:r>
        <w:t>signal</w:t>
      </w:r>
      <w:r w:rsidR="000735F9">
        <w:t>s</w:t>
      </w:r>
      <w:r>
        <w:t>, which legislators</w:t>
      </w:r>
      <w:r w:rsidR="00AC6B54">
        <w:t xml:space="preserve"> would recognize as such. </w:t>
      </w:r>
      <w:r>
        <w:t xml:space="preserve">Similarly, cheap talk </w:t>
      </w:r>
      <w:r w:rsidR="001B1527">
        <w:t>involves a</w:t>
      </w:r>
      <w:r>
        <w:t xml:space="preserve"> private communication</w:t>
      </w:r>
      <w:r w:rsidR="001B1527">
        <w:t xml:space="preserve"> between sender and receiver</w:t>
      </w:r>
      <w:r>
        <w:t xml:space="preserve">. If </w:t>
      </w:r>
      <w:r w:rsidR="001B1527">
        <w:t xml:space="preserve">others – say </w:t>
      </w:r>
      <w:r>
        <w:t>voters</w:t>
      </w:r>
      <w:r w:rsidR="001B1527">
        <w:t xml:space="preserve">! – </w:t>
      </w:r>
      <w:proofErr w:type="gramStart"/>
      <w:r w:rsidR="001B1527">
        <w:t>observed</w:t>
      </w:r>
      <w:proofErr w:type="gramEnd"/>
      <w:r>
        <w:t xml:space="preserve"> the transaction, they might punish president</w:t>
      </w:r>
      <w:r w:rsidR="001B1527">
        <w:t>s</w:t>
      </w:r>
      <w:r>
        <w:t xml:space="preserve"> who shied away from </w:t>
      </w:r>
      <w:r w:rsidR="001B1527">
        <w:t>their</w:t>
      </w:r>
      <w:r>
        <w:t xml:space="preserve"> threat commitment</w:t>
      </w:r>
      <w:r w:rsidR="001B1527">
        <w:t>s</w:t>
      </w:r>
      <w:r w:rsidRPr="003E74FB">
        <w:t xml:space="preserve">. </w:t>
      </w:r>
      <w:r>
        <w:t>A</w:t>
      </w:r>
      <w:r w:rsidR="001B1527">
        <w:t>s with reputation</w:t>
      </w:r>
      <w:r>
        <w:t>,</w:t>
      </w:r>
      <w:r w:rsidR="001B1527">
        <w:t xml:space="preserve"> </w:t>
      </w:r>
      <w:r w:rsidR="00E25B9F">
        <w:t xml:space="preserve">the presence of </w:t>
      </w:r>
      <w:r w:rsidR="001B1527">
        <w:t>audience cost</w:t>
      </w:r>
      <w:r>
        <w:t xml:space="preserve"> would constrain</w:t>
      </w:r>
      <w:r w:rsidR="001B1527">
        <w:t xml:space="preserve"> presidents</w:t>
      </w:r>
      <w:r>
        <w:t xml:space="preserve"> to </w:t>
      </w:r>
      <w:r w:rsidR="00E25B9F">
        <w:t>send</w:t>
      </w:r>
      <w:r>
        <w:t xml:space="preserve"> credible </w:t>
      </w:r>
      <w:r w:rsidR="00E25B9F">
        <w:t>threat signals</w:t>
      </w:r>
      <w:r w:rsidR="001B1527">
        <w:t>. Hence,</w:t>
      </w:r>
      <w:r>
        <w:t xml:space="preserve"> </w:t>
      </w:r>
      <w:r w:rsidR="001B1527">
        <w:t>for presidential communications</w:t>
      </w:r>
      <w:r>
        <w:t xml:space="preserve"> </w:t>
      </w:r>
      <w:r w:rsidR="006E5CE5">
        <w:t xml:space="preserve">to qualify as </w:t>
      </w:r>
      <w:r>
        <w:t xml:space="preserve">cheap talk, </w:t>
      </w:r>
      <w:r w:rsidR="006E5CE5">
        <w:t xml:space="preserve">both </w:t>
      </w:r>
      <w:r>
        <w:t xml:space="preserve">reputational and audience costs must be off the table. </w:t>
      </w:r>
      <w:r w:rsidR="006E5CE5">
        <w:t xml:space="preserve">But as </w:t>
      </w:r>
      <w:proofErr w:type="spellStart"/>
      <w:r w:rsidR="006E5CE5">
        <w:t>Neustadt</w:t>
      </w:r>
      <w:proofErr w:type="spellEnd"/>
      <w:r w:rsidR="006E5CE5">
        <w:t xml:space="preserve"> (1961) observed over half a century ago, these considerations are almost always on the table.</w:t>
      </w:r>
    </w:p>
    <w:p w:rsidR="00C90BFB" w:rsidRDefault="005D26FA" w:rsidP="00C90BFB">
      <w:r>
        <w:t xml:space="preserve">Cheap </w:t>
      </w:r>
      <w:r w:rsidR="00C90BFB">
        <w:t>talk</w:t>
      </w:r>
      <w:r>
        <w:t xml:space="preserve">’s </w:t>
      </w:r>
      <w:r w:rsidR="001A55F3">
        <w:t>limits on presidential influence have</w:t>
      </w:r>
      <w:r w:rsidR="00C90BFB">
        <w:t xml:space="preserve"> </w:t>
      </w:r>
      <w:r w:rsidR="006079AD">
        <w:t>led scholars to consider alternative means of persuasion.</w:t>
      </w:r>
      <w:r w:rsidR="00C90BFB">
        <w:t xml:space="preserve">  One is a veto, an intrinsically costly commitment which signals a president’s clear preference for the status quo over Congress’ proposal. Cameron (2000) introduces “sequential veto bargaining” as a strategy these politicians employ to overcome the</w:t>
      </w:r>
      <w:r>
        <w:t>ir</w:t>
      </w:r>
      <w:r w:rsidR="00C90BFB">
        <w:t xml:space="preserve"> </w:t>
      </w:r>
      <w:r>
        <w:t xml:space="preserve">severe </w:t>
      </w:r>
      <w:r w:rsidR="00C90BFB">
        <w:t xml:space="preserve">limitations </w:t>
      </w:r>
      <w:r>
        <w:t>in</w:t>
      </w:r>
      <w:r w:rsidR="00C90BFB">
        <w:t xml:space="preserve"> coordinat</w:t>
      </w:r>
      <w:r>
        <w:t>ing</w:t>
      </w:r>
      <w:r w:rsidR="00C90BFB">
        <w:t xml:space="preserve"> policy. Although highly risky</w:t>
      </w:r>
      <w:r w:rsidR="00833E54">
        <w:t>,</w:t>
      </w:r>
      <w:r w:rsidR="00C90BFB">
        <w:t xml:space="preserve"> in that it involves legislating across Congresses, Cameron finds evidence that </w:t>
      </w:r>
      <w:r>
        <w:t xml:space="preserve">vetoes frequently precede </w:t>
      </w:r>
      <w:r w:rsidR="00131D6A">
        <w:t>ultimate pass</w:t>
      </w:r>
      <w:r w:rsidR="00164349">
        <w:t>age</w:t>
      </w:r>
      <w:r>
        <w:t xml:space="preserve"> </w:t>
      </w:r>
      <w:r w:rsidR="00164349">
        <w:t xml:space="preserve">of </w:t>
      </w:r>
      <w:r>
        <w:t>ma</w:t>
      </w:r>
      <w:r w:rsidR="00C90BFB">
        <w:t xml:space="preserve">jor </w:t>
      </w:r>
      <w:r w:rsidR="00164349">
        <w:t>legislation</w:t>
      </w:r>
      <w:r w:rsidR="00C90BFB">
        <w:t xml:space="preserve"> during periods of divided government.  </w:t>
      </w:r>
    </w:p>
    <w:p w:rsidR="00575F94" w:rsidRDefault="00C90BFB" w:rsidP="00C90BFB">
      <w:r>
        <w:t xml:space="preserve">Others have tackled the cheap talk problem directly by devising ways presidents can </w:t>
      </w:r>
      <w:r w:rsidR="00164349">
        <w:t>bolster</w:t>
      </w:r>
      <w:r>
        <w:t xml:space="preserve"> the credibility of their </w:t>
      </w:r>
      <w:r w:rsidR="001B629C">
        <w:t>rhetoric</w:t>
      </w:r>
      <w:r>
        <w:t xml:space="preserve">. </w:t>
      </w:r>
      <w:r w:rsidR="00164349">
        <w:t>They</w:t>
      </w:r>
      <w:r>
        <w:t xml:space="preserve"> might introduce </w:t>
      </w:r>
      <w:r w:rsidR="00AB1CB0">
        <w:t>steep</w:t>
      </w:r>
      <w:r>
        <w:t xml:space="preserve"> audience costs </w:t>
      </w:r>
      <w:r w:rsidR="00AB1CB0">
        <w:t>by issuing</w:t>
      </w:r>
      <w:r>
        <w:t xml:space="preserve"> highly public, uncompromising declarations that Congress must follow or </w:t>
      </w:r>
      <w:r w:rsidR="00575F94">
        <w:t>face a</w:t>
      </w:r>
      <w:r>
        <w:t xml:space="preserve"> veto</w:t>
      </w:r>
      <w:r w:rsidR="00575F94">
        <w:t xml:space="preserve"> </w:t>
      </w:r>
      <w:r>
        <w:t>(</w:t>
      </w:r>
      <w:proofErr w:type="spellStart"/>
      <w:r>
        <w:t>Ingberman</w:t>
      </w:r>
      <w:proofErr w:type="spellEnd"/>
      <w:r>
        <w:t xml:space="preserve"> and Yao 1991).  The downside risk of</w:t>
      </w:r>
      <w:r w:rsidR="00164349">
        <w:t xml:space="preserve"> a</w:t>
      </w:r>
      <w:r>
        <w:t xml:space="preserve"> </w:t>
      </w:r>
      <w:r w:rsidR="00131D6A">
        <w:t>“</w:t>
      </w:r>
      <w:r>
        <w:t>nuking</w:t>
      </w:r>
      <w:r w:rsidR="00131D6A">
        <w:t>”</w:t>
      </w:r>
      <w:r w:rsidR="00AB1CB0">
        <w:t xml:space="preserve"> commitment</w:t>
      </w:r>
      <w:r>
        <w:t xml:space="preserve"> is </w:t>
      </w:r>
      <w:r w:rsidR="00131D6A">
        <w:t xml:space="preserve">evident. Congress might offer a </w:t>
      </w:r>
      <w:r>
        <w:t>compromise that</w:t>
      </w:r>
      <w:r w:rsidR="00AB1CB0">
        <w:t xml:space="preserve"> </w:t>
      </w:r>
      <w:r w:rsidR="00131D6A">
        <w:t xml:space="preserve">is relatively more attractive than the status quo to the public and </w:t>
      </w:r>
      <w:r w:rsidR="00164349">
        <w:t xml:space="preserve">even </w:t>
      </w:r>
      <w:r w:rsidR="00F14501">
        <w:t xml:space="preserve">to </w:t>
      </w:r>
      <w:r w:rsidR="00131D6A">
        <w:t xml:space="preserve">the locked-in president. </w:t>
      </w:r>
      <w:r w:rsidR="00F14501">
        <w:t>By</w:t>
      </w:r>
      <w:r w:rsidR="00131D6A">
        <w:t xml:space="preserve"> </w:t>
      </w:r>
      <w:r w:rsidR="00AA2CAF">
        <w:t>committing</w:t>
      </w:r>
      <w:r w:rsidR="00AB1CB0">
        <w:t xml:space="preserve"> </w:t>
      </w:r>
      <w:r>
        <w:t>to veto</w:t>
      </w:r>
      <w:r w:rsidR="00AB1CB0">
        <w:t xml:space="preserve"> </w:t>
      </w:r>
      <w:r w:rsidR="00131D6A">
        <w:t>all</w:t>
      </w:r>
      <w:r w:rsidR="00AB1CB0">
        <w:t xml:space="preserve"> less than “perfect” bill</w:t>
      </w:r>
      <w:r w:rsidR="00131D6A">
        <w:t>s</w:t>
      </w:r>
      <w:r w:rsidR="00AB1CB0">
        <w:t>, president</w:t>
      </w:r>
      <w:r w:rsidR="00F14501">
        <w:t xml:space="preserve">s </w:t>
      </w:r>
      <w:r w:rsidR="00164349">
        <w:t xml:space="preserve">would </w:t>
      </w:r>
      <w:r w:rsidR="00F14501">
        <w:t>find themselves</w:t>
      </w:r>
      <w:r w:rsidR="00AB1CB0">
        <w:t xml:space="preserve"> </w:t>
      </w:r>
      <w:r w:rsidR="00575F94">
        <w:t>forfeit</w:t>
      </w:r>
      <w:r w:rsidR="00F14501">
        <w:t>ing</w:t>
      </w:r>
      <w:r w:rsidR="00AB1CB0">
        <w:t xml:space="preserve"> policy gains</w:t>
      </w:r>
      <w:r>
        <w:t xml:space="preserve"> </w:t>
      </w:r>
      <w:r w:rsidR="00164349">
        <w:t>at the same time they are</w:t>
      </w:r>
      <w:r w:rsidR="00AB1CB0">
        <w:t xml:space="preserve"> alienat</w:t>
      </w:r>
      <w:r w:rsidR="00F14501">
        <w:t>ing</w:t>
      </w:r>
      <w:r w:rsidR="00AB1CB0">
        <w:t xml:space="preserve"> segment</w:t>
      </w:r>
      <w:r w:rsidR="00575F94">
        <w:t>s</w:t>
      </w:r>
      <w:r w:rsidR="00AB1CB0">
        <w:t xml:space="preserve"> of the </w:t>
      </w:r>
      <w:r w:rsidR="00164349">
        <w:t xml:space="preserve">interested </w:t>
      </w:r>
      <w:r w:rsidR="00AB1CB0">
        <w:t>public</w:t>
      </w:r>
      <w:r>
        <w:t>.</w:t>
      </w:r>
      <w:r>
        <w:rPr>
          <w:rStyle w:val="FootnoteReference"/>
        </w:rPr>
        <w:footnoteReference w:id="3"/>
      </w:r>
      <w:r>
        <w:t xml:space="preserve"> </w:t>
      </w:r>
    </w:p>
    <w:p w:rsidR="00B613F6" w:rsidRDefault="00C90BFB" w:rsidP="00C90BFB">
      <w:r>
        <w:t xml:space="preserve">We </w:t>
      </w:r>
      <w:r w:rsidR="00D54C58">
        <w:t>argue that presidents need not engag</w:t>
      </w:r>
      <w:r w:rsidR="00AB628D">
        <w:t>e in such extraordinary effort</w:t>
      </w:r>
      <w:r w:rsidR="00F14501">
        <w:t>s to gain credibility</w:t>
      </w:r>
      <w:r w:rsidR="00AB628D">
        <w:t xml:space="preserve">. Opportunities </w:t>
      </w:r>
      <w:r>
        <w:t xml:space="preserve">for sending costly, </w:t>
      </w:r>
      <w:r w:rsidR="00164349">
        <w:t xml:space="preserve">hence </w:t>
      </w:r>
      <w:r>
        <w:t>credible</w:t>
      </w:r>
      <w:r w:rsidR="00164349">
        <w:t>,</w:t>
      </w:r>
      <w:r>
        <w:t xml:space="preserve"> threats abound. </w:t>
      </w:r>
      <w:r w:rsidR="00B046F9">
        <w:t>(</w:t>
      </w:r>
      <w:r w:rsidR="00164349">
        <w:t xml:space="preserve">One </w:t>
      </w:r>
      <w:r w:rsidR="00B046F9">
        <w:t>needs</w:t>
      </w:r>
      <w:r w:rsidR="00164349">
        <w:t xml:space="preserve"> </w:t>
      </w:r>
      <w:r w:rsidR="00B046F9">
        <w:t xml:space="preserve">to </w:t>
      </w:r>
      <w:r w:rsidR="00164349">
        <w:t>look no further than the hundreds of veto threats a newspaper reporter tallied for his readers in Figure 1.</w:t>
      </w:r>
      <w:r w:rsidR="00B046F9">
        <w:t xml:space="preserve">) </w:t>
      </w:r>
      <w:r w:rsidR="00AB628D">
        <w:t>Every message to Congress that the public and fellow Washingtonians observe has a cost term attached to it.</w:t>
      </w:r>
      <w:r w:rsidR="00AB628D">
        <w:rPr>
          <w:rStyle w:val="FootnoteReference"/>
        </w:rPr>
        <w:footnoteReference w:id="4"/>
      </w:r>
      <w:r w:rsidR="00AB628D">
        <w:t xml:space="preserve"> </w:t>
      </w:r>
      <w:r>
        <w:t xml:space="preserve">Indeed, credible communication </w:t>
      </w:r>
      <w:r w:rsidR="00AB628D">
        <w:t>is essential to negotiations</w:t>
      </w:r>
      <w:r w:rsidR="00F14501">
        <w:t xml:space="preserve"> between the branches. </w:t>
      </w:r>
      <w:r w:rsidR="00B046F9">
        <w:t>Not surprisingly, c</w:t>
      </w:r>
      <w:r w:rsidR="00F14501">
        <w:t xml:space="preserve">redible </w:t>
      </w:r>
      <w:r w:rsidR="00DF6D17">
        <w:t>messages</w:t>
      </w:r>
      <w:r w:rsidR="00F14501">
        <w:t xml:space="preserve"> flow continuously </w:t>
      </w:r>
      <w:r>
        <w:t>up and down Pennsylvania Avenue</w:t>
      </w:r>
      <w:r w:rsidR="00F14501">
        <w:t xml:space="preserve">. </w:t>
      </w:r>
    </w:p>
    <w:p w:rsidR="00DF6D17" w:rsidRPr="00C80A9B" w:rsidRDefault="00DF6D17" w:rsidP="00DF6D17">
      <w:pPr>
        <w:pStyle w:val="Heading3"/>
        <w:framePr w:wrap="auto" w:vAnchor="margin" w:yAlign="inline"/>
      </w:pPr>
      <w:r w:rsidRPr="00C80A9B">
        <w:t>Credible Threats, a Game Changer</w:t>
      </w:r>
    </w:p>
    <w:p w:rsidR="00C90BFB" w:rsidRDefault="00AE611A" w:rsidP="00C90BFB">
      <w:r>
        <w:t>But credibility solves only the first of the two problems</w:t>
      </w:r>
      <w:r w:rsidR="00B613F6">
        <w:t>. Presidents still face</w:t>
      </w:r>
      <w:r w:rsidR="00C90BFB">
        <w:t xml:space="preserve"> another formidable barrier that res</w:t>
      </w:r>
      <w:r w:rsidR="00B046F9">
        <w:t>ide</w:t>
      </w:r>
      <w:r w:rsidR="00C90BFB">
        <w:t xml:space="preserve">s with the veto itself. However informative their </w:t>
      </w:r>
      <w:r w:rsidR="00B046F9">
        <w:t>threat may be</w:t>
      </w:r>
      <w:r w:rsidR="00C90BFB">
        <w:t xml:space="preserve">, they </w:t>
      </w:r>
      <w:r w:rsidR="00B046F9">
        <w:t xml:space="preserve">will </w:t>
      </w:r>
      <w:r w:rsidR="00C90BFB">
        <w:t xml:space="preserve">still face </w:t>
      </w:r>
      <w:r w:rsidR="00B046F9">
        <w:t>a</w:t>
      </w:r>
      <w:r w:rsidR="00C90BFB">
        <w:t xml:space="preserve"> “take it or leave it” </w:t>
      </w:r>
      <w:r w:rsidR="00B046F9">
        <w:t>choice</w:t>
      </w:r>
      <w:r w:rsidR="00C90BFB">
        <w:t>.  Although credible threats should lead to legislation that more accurately identifies president</w:t>
      </w:r>
      <w:r w:rsidR="00B613F6">
        <w:t>s</w:t>
      </w:r>
      <w:r w:rsidR="00C90BFB">
        <w:t xml:space="preserve">’ indifference point -- hence, fewer vetoes – Congress retains the upper hand in fashioning legislation that allows it to capture any policy surplus. Consequently, credible threats can </w:t>
      </w:r>
      <w:r w:rsidR="00C90BFB" w:rsidRPr="00F37DED">
        <w:rPr>
          <w:i/>
        </w:rPr>
        <w:t>only</w:t>
      </w:r>
      <w:r w:rsidR="00C90BFB">
        <w:t xml:space="preserve"> </w:t>
      </w:r>
      <w:r w:rsidR="00C90BFB" w:rsidRPr="00F37DED">
        <w:rPr>
          <w:i/>
        </w:rPr>
        <w:t>partially</w:t>
      </w:r>
      <w:r w:rsidR="00C90BFB">
        <w:t xml:space="preserve"> rescue presidents from the veto’s ultimatum bind. They still find themselves signing bills they barely prefer to the status quo. If credible veto threats are to give presidents real clout, they must pry open deliberations and allow presidents to insert their policy preferences as legislati</w:t>
      </w:r>
      <w:r w:rsidR="00B046F9">
        <w:t>on</w:t>
      </w:r>
      <w:r w:rsidR="00C90BFB">
        <w:t xml:space="preserve"> is still forming. Below we find that they do. </w:t>
      </w:r>
    </w:p>
    <w:p w:rsidR="00C90BFB" w:rsidRDefault="00C90BFB" w:rsidP="00C90BFB">
      <w:r>
        <w:t xml:space="preserve">For the most part, the literature on presidential vetoes and veto threats follows a standard separation-of-powers script. Congress presents enrolled bills to presidents who sign or veto them. How these bills are arrived at – whether through an easy consensus or from a legislative brawl – does not matter. Congress presents presidents with a single alternative to the status quo. Yet </w:t>
      </w:r>
      <w:r w:rsidR="001C3208">
        <w:t>for</w:t>
      </w:r>
      <w:r>
        <w:t xml:space="preserve"> presidents </w:t>
      </w:r>
      <w:r w:rsidR="001C3208">
        <w:t>able to</w:t>
      </w:r>
      <w:r>
        <w:t xml:space="preserve"> issue credible threats during </w:t>
      </w:r>
      <w:r w:rsidR="001C3208">
        <w:t xml:space="preserve">congressional </w:t>
      </w:r>
      <w:r>
        <w:t xml:space="preserve">deliberations, the separation-of-powers model short-sells presidents’ potential influence. If veto threats prompt legislators to look down the decision tree and reassess the likelihood of the president signing or vetoing each of the alternative bills under consideration, they may switch their support from the bill conferring the greatest </w:t>
      </w:r>
      <w:r w:rsidR="00B613F6">
        <w:t>policy gains</w:t>
      </w:r>
      <w:r>
        <w:t xml:space="preserve"> to one that </w:t>
      </w:r>
      <w:r w:rsidR="00B613F6">
        <w:t>stands a better</w:t>
      </w:r>
      <w:r>
        <w:t xml:space="preserve"> chance of </w:t>
      </w:r>
      <w:r w:rsidR="00B25017">
        <w:t>enact</w:t>
      </w:r>
      <w:r w:rsidR="00B613F6">
        <w:t>ment</w:t>
      </w:r>
      <w:r>
        <w:t xml:space="preserve"> (Martin 2001).  If veto threats cause legislators to make these calculations early, presidents may succeed in shaping policy to a much greater extent than envisioned by the separation of powers framework.  </w:t>
      </w:r>
    </w:p>
    <w:p w:rsidR="00C90BFB" w:rsidRDefault="00C90BFB" w:rsidP="00C90BFB">
      <w:r>
        <w:t xml:space="preserve">Consider the following scenario: A president observes </w:t>
      </w:r>
      <w:r w:rsidR="00833E54">
        <w:t xml:space="preserve">an </w:t>
      </w:r>
      <w:r>
        <w:t>unacceptable bill comprised of the following provisions {~</w:t>
      </w:r>
      <w:proofErr w:type="spellStart"/>
      <w:r>
        <w:t>w</w:t>
      </w:r>
      <w:proofErr w:type="gramStart"/>
      <w:r>
        <w:t>,x,y,z</w:t>
      </w:r>
      <w:proofErr w:type="spellEnd"/>
      <w:proofErr w:type="gramEnd"/>
      <w:r>
        <w:t>}. He most favors {</w:t>
      </w:r>
      <w:proofErr w:type="spellStart"/>
      <w:r>
        <w:t>w</w:t>
      </w:r>
      <w:proofErr w:type="gramStart"/>
      <w:r>
        <w:t>,x,y</w:t>
      </w:r>
      <w:proofErr w:type="gramEnd"/>
      <w:r>
        <w:t>,~z</w:t>
      </w:r>
      <w:proofErr w:type="spellEnd"/>
      <w:r>
        <w:t>} and would accept {~</w:t>
      </w:r>
      <w:proofErr w:type="spellStart"/>
      <w:r>
        <w:t>w,x,y,~z</w:t>
      </w:r>
      <w:proofErr w:type="spellEnd"/>
      <w:r>
        <w:t xml:space="preserve">} over the status quo.  What does the president do? He might threaten any bill that </w:t>
      </w:r>
      <w:r w:rsidR="00B046F9">
        <w:t xml:space="preserve">excludes w and </w:t>
      </w:r>
      <w:r>
        <w:t>includes z</w:t>
      </w:r>
      <w:r w:rsidR="00B046F9">
        <w:t>.</w:t>
      </w:r>
      <w:r>
        <w:t xml:space="preserve">  Those legislators championing policies x and y may find </w:t>
      </w:r>
      <w:r w:rsidR="00B046F9">
        <w:t xml:space="preserve">their enthusiasm for z waning, especially if </w:t>
      </w:r>
      <w:proofErr w:type="spellStart"/>
      <w:r w:rsidR="00B046F9">
        <w:t>w’s</w:t>
      </w:r>
      <w:proofErr w:type="spellEnd"/>
      <w:r w:rsidR="00B046F9">
        <w:t xml:space="preserve"> ardent supporters are equally numerous.</w:t>
      </w:r>
      <w:r>
        <w:t xml:space="preserve"> Or </w:t>
      </w:r>
      <w:r w:rsidR="00B046F9">
        <w:t xml:space="preserve">they might counter with an offer that includes both w and z. </w:t>
      </w:r>
    </w:p>
    <w:p w:rsidR="00272AE7" w:rsidRPr="00FA01ED" w:rsidRDefault="00272AE7" w:rsidP="00D27BF0">
      <w:pPr>
        <w:rPr>
          <w:color w:val="FF0000"/>
        </w:rPr>
      </w:pPr>
      <w:r>
        <w:t xml:space="preserve">The potential effect of veto rhetoric extends beyond </w:t>
      </w:r>
      <w:r w:rsidR="00C90BFB">
        <w:t>tweak</w:t>
      </w:r>
      <w:r>
        <w:t>ing</w:t>
      </w:r>
      <w:r w:rsidR="00C90BFB">
        <w:t xml:space="preserve"> individual legislators’ </w:t>
      </w:r>
      <w:r>
        <w:t>utility assessments</w:t>
      </w:r>
      <w:r w:rsidR="00C90BFB">
        <w:t xml:space="preserve"> </w:t>
      </w:r>
      <w:r w:rsidR="000D6953">
        <w:t xml:space="preserve">of </w:t>
      </w:r>
      <w:r w:rsidR="00DF6D17">
        <w:t>alternative</w:t>
      </w:r>
      <w:r w:rsidR="000D6953">
        <w:t xml:space="preserve"> legislative</w:t>
      </w:r>
      <w:r w:rsidR="00C90BFB">
        <w:t xml:space="preserve"> </w:t>
      </w:r>
      <w:r>
        <w:t>bundle</w:t>
      </w:r>
      <w:r w:rsidR="00C90BFB">
        <w:t xml:space="preserve">s. </w:t>
      </w:r>
      <w:r w:rsidR="00D27BF0">
        <w:t>Partisan considerations and institutional biases may mediate the impact of a veto threat at each stage of the process. They may determine whether its impact will be substantial or nil.</w:t>
      </w:r>
      <w:r w:rsidR="00D27BF0">
        <w:rPr>
          <w:color w:val="FF0000"/>
        </w:rPr>
        <w:t xml:space="preserve"> </w:t>
      </w:r>
      <w:r w:rsidR="00C90BFB">
        <w:t>Legislators</w:t>
      </w:r>
      <w:r>
        <w:t xml:space="preserve"> and president</w:t>
      </w:r>
      <w:r w:rsidR="000D6953">
        <w:t>s</w:t>
      </w:r>
      <w:r>
        <w:t xml:space="preserve"> are members </w:t>
      </w:r>
      <w:r w:rsidR="00C90BFB">
        <w:t>of party team</w:t>
      </w:r>
      <w:r w:rsidR="00D27BF0">
        <w:t>s. Each team’s</w:t>
      </w:r>
      <w:r w:rsidR="00C90BFB">
        <w:t xml:space="preserve"> success and failure</w:t>
      </w:r>
      <w:r w:rsidR="00D27BF0">
        <w:t xml:space="preserve"> in the legislative arena might</w:t>
      </w:r>
      <w:r w:rsidR="00C90BFB">
        <w:t xml:space="preserve"> </w:t>
      </w:r>
      <w:r w:rsidR="000C4A9E">
        <w:t xml:space="preserve">contribute to its </w:t>
      </w:r>
      <w:r w:rsidR="00E63BAD">
        <w:t>reputation</w:t>
      </w:r>
      <w:r w:rsidR="000C4A9E">
        <w:t xml:space="preserve"> and consequently,</w:t>
      </w:r>
      <w:r w:rsidR="00C90BFB">
        <w:t xml:space="preserve"> to each </w:t>
      </w:r>
      <w:r w:rsidR="00D27BF0">
        <w:t xml:space="preserve">team </w:t>
      </w:r>
      <w:r w:rsidR="00C90BFB">
        <w:t>member’s reelection prospect</w:t>
      </w:r>
      <w:r w:rsidR="000C4A9E">
        <w:t>s.</w:t>
      </w:r>
      <w:r w:rsidR="00C90BFB">
        <w:t xml:space="preserve"> Presidents </w:t>
      </w:r>
      <w:r w:rsidR="000D6953">
        <w:t>join deliberations</w:t>
      </w:r>
      <w:r w:rsidR="00C90BFB">
        <w:t xml:space="preserve"> not as outsiders but </w:t>
      </w:r>
      <w:r w:rsidR="00E63BAD">
        <w:t>as singularly resourceful members</w:t>
      </w:r>
      <w:r w:rsidR="00C90BFB">
        <w:t xml:space="preserve"> of the</w:t>
      </w:r>
      <w:r w:rsidR="000D6953">
        <w:t>ir</w:t>
      </w:r>
      <w:r w:rsidR="00C90BFB">
        <w:t xml:space="preserve"> party team. </w:t>
      </w:r>
      <w:r w:rsidR="00E63BAD">
        <w:t>Furthermore, a</w:t>
      </w:r>
      <w:r w:rsidR="000C4A9E">
        <w:t xml:space="preserve"> chamber’s </w:t>
      </w:r>
      <w:r>
        <w:t>non-</w:t>
      </w:r>
      <w:proofErr w:type="spellStart"/>
      <w:r>
        <w:t>majoritarian</w:t>
      </w:r>
      <w:proofErr w:type="spellEnd"/>
      <w:r>
        <w:t xml:space="preserve"> </w:t>
      </w:r>
      <w:r w:rsidR="000C4A9E">
        <w:t>rules, procedures and allocations of authority</w:t>
      </w:r>
      <w:r w:rsidR="000D6953">
        <w:t xml:space="preserve"> may bias legislation in favor of one </w:t>
      </w:r>
      <w:r w:rsidR="00E63BAD">
        <w:t>of the party’s</w:t>
      </w:r>
      <w:r w:rsidR="000D6953">
        <w:t xml:space="preserve"> policy preferences</w:t>
      </w:r>
      <w:r>
        <w:t xml:space="preserve">. </w:t>
      </w:r>
      <w:r w:rsidR="00E63BAD">
        <w:t xml:space="preserve">Median </w:t>
      </w:r>
      <w:r w:rsidR="001578F7">
        <w:t xml:space="preserve">House and Senate </w:t>
      </w:r>
      <w:r w:rsidR="00E63BAD">
        <w:t>members might hold identical</w:t>
      </w:r>
      <w:r w:rsidR="000C4A9E">
        <w:t xml:space="preserve"> preferences, and yet the</w:t>
      </w:r>
      <w:r w:rsidR="00E63BAD">
        <w:t>ir</w:t>
      </w:r>
      <w:r w:rsidR="000D6953">
        <w:t xml:space="preserve"> chambers </w:t>
      </w:r>
      <w:r w:rsidR="001578F7">
        <w:t xml:space="preserve">adopt quite different </w:t>
      </w:r>
      <w:r w:rsidR="00E63BAD">
        <w:t>bundles of provisions</w:t>
      </w:r>
      <w:r w:rsidR="001578F7">
        <w:t>.</w:t>
      </w:r>
      <w:r w:rsidR="000C4A9E">
        <w:t xml:space="preserve"> </w:t>
      </w:r>
      <w:r w:rsidR="00E63BAD">
        <w:t xml:space="preserve">Veto rhetoric acts not </w:t>
      </w:r>
      <w:r w:rsidR="008977C2">
        <w:t xml:space="preserve">just </w:t>
      </w:r>
      <w:r w:rsidR="00E63BAD">
        <w:t xml:space="preserve">on </w:t>
      </w:r>
      <w:r w:rsidR="008977C2">
        <w:t>members’ individual</w:t>
      </w:r>
      <w:r w:rsidR="00E63BAD">
        <w:t xml:space="preserve"> preferences but </w:t>
      </w:r>
      <w:r w:rsidR="008977C2">
        <w:t xml:space="preserve">also on the </w:t>
      </w:r>
      <w:r w:rsidR="009B4D32">
        <w:t xml:space="preserve">sequence of </w:t>
      </w:r>
      <w:r w:rsidR="008977C2">
        <w:t xml:space="preserve">decisions that constitute the legislative process. </w:t>
      </w:r>
    </w:p>
    <w:p w:rsidR="00C90BFB" w:rsidRPr="0074446B" w:rsidRDefault="00C90BFB" w:rsidP="00C90BFB">
      <w:pPr>
        <w:pStyle w:val="Heading2"/>
      </w:pPr>
      <w:r>
        <w:t xml:space="preserve">III. </w:t>
      </w:r>
      <w:r w:rsidR="00776651">
        <w:t>The Institutional Context of</w:t>
      </w:r>
      <w:r>
        <w:t xml:space="preserve"> </w:t>
      </w:r>
      <w:r w:rsidR="0006072E">
        <w:t xml:space="preserve">Veto Threat </w:t>
      </w:r>
      <w:r>
        <w:t xml:space="preserve">Bargaining  </w:t>
      </w:r>
    </w:p>
    <w:p w:rsidR="00C90BFB" w:rsidRDefault="00C90BFB" w:rsidP="00C90BFB">
      <w:r>
        <w:rPr>
          <w:color w:val="000000" w:themeColor="text1"/>
        </w:rPr>
        <w:t xml:space="preserve">The Constitution enfranchises the House of Representatives, the Senate and the presidency with a veto over legislation. The Constitution </w:t>
      </w:r>
      <w:r w:rsidR="001578F7">
        <w:rPr>
          <w:color w:val="000000" w:themeColor="text1"/>
        </w:rPr>
        <w:t xml:space="preserve">further </w:t>
      </w:r>
      <w:r>
        <w:rPr>
          <w:color w:val="000000" w:themeColor="text1"/>
        </w:rPr>
        <w:t>provides for only one override</w:t>
      </w:r>
      <w:r w:rsidR="00B42A18">
        <w:rPr>
          <w:color w:val="000000" w:themeColor="text1"/>
        </w:rPr>
        <w:t>,</w:t>
      </w:r>
      <w:r>
        <w:rPr>
          <w:color w:val="000000" w:themeColor="text1"/>
        </w:rPr>
        <w:t xml:space="preserve"> </w:t>
      </w:r>
      <w:r w:rsidR="00B42A18">
        <w:rPr>
          <w:color w:val="000000" w:themeColor="text1"/>
        </w:rPr>
        <w:t>requiring</w:t>
      </w:r>
      <w:r>
        <w:rPr>
          <w:color w:val="000000" w:themeColor="text1"/>
        </w:rPr>
        <w:t xml:space="preserve"> </w:t>
      </w:r>
      <w:r w:rsidR="00B42A18">
        <w:rPr>
          <w:color w:val="000000" w:themeColor="text1"/>
        </w:rPr>
        <w:t xml:space="preserve">the other two veto players, the House of Representatives and the Senate, to </w:t>
      </w:r>
      <w:proofErr w:type="spellStart"/>
      <w:r w:rsidR="00B42A18">
        <w:rPr>
          <w:color w:val="000000" w:themeColor="text1"/>
        </w:rPr>
        <w:t>repass</w:t>
      </w:r>
      <w:proofErr w:type="spellEnd"/>
      <w:r w:rsidR="00B42A18">
        <w:rPr>
          <w:color w:val="000000" w:themeColor="text1"/>
        </w:rPr>
        <w:t xml:space="preserve"> a vetoed bill with </w:t>
      </w:r>
      <w:r>
        <w:rPr>
          <w:color w:val="000000" w:themeColor="text1"/>
        </w:rPr>
        <w:t xml:space="preserve">two-thirds majorities in </w:t>
      </w:r>
      <w:r w:rsidR="00B42A18">
        <w:rPr>
          <w:color w:val="000000" w:themeColor="text1"/>
        </w:rPr>
        <w:t>each chamber</w:t>
      </w:r>
      <w:r>
        <w:rPr>
          <w:color w:val="000000" w:themeColor="text1"/>
        </w:rPr>
        <w:t xml:space="preserve">. </w:t>
      </w:r>
      <w:r>
        <w:t xml:space="preserve">Moreover, with few exceptions, the Constitution leaves it to each chamber to legislate according to its own devised rules. </w:t>
      </w:r>
      <w:r w:rsidR="000F0725">
        <w:t xml:space="preserve">Since the early days of the Republic the House and Senate have taken different paths to collective </w:t>
      </w:r>
      <w:proofErr w:type="gramStart"/>
      <w:r w:rsidR="000F0725">
        <w:t>decision making</w:t>
      </w:r>
      <w:proofErr w:type="gramEnd"/>
      <w:r w:rsidR="000F0725">
        <w:t xml:space="preserve"> (</w:t>
      </w:r>
      <w:proofErr w:type="spellStart"/>
      <w:r w:rsidR="000F0725">
        <w:t>Wirls</w:t>
      </w:r>
      <w:proofErr w:type="spellEnd"/>
      <w:r w:rsidR="008853FA">
        <w:t xml:space="preserve"> and </w:t>
      </w:r>
      <w:proofErr w:type="spellStart"/>
      <w:r w:rsidR="008853FA">
        <w:t>Wirls</w:t>
      </w:r>
      <w:proofErr w:type="spellEnd"/>
      <w:r w:rsidR="008853FA">
        <w:t xml:space="preserve"> 2004; </w:t>
      </w:r>
      <w:proofErr w:type="spellStart"/>
      <w:r w:rsidR="008853FA">
        <w:t>Schickler</w:t>
      </w:r>
      <w:proofErr w:type="spellEnd"/>
      <w:r w:rsidR="008853FA">
        <w:t xml:space="preserve"> 2001)</w:t>
      </w:r>
      <w:r w:rsidR="000F0725">
        <w:t>.  These modern institutions have evolved distinctly differ</w:t>
      </w:r>
      <w:r w:rsidR="008853FA">
        <w:t>ent rules and procedures</w:t>
      </w:r>
      <w:r w:rsidR="00B42A18">
        <w:t xml:space="preserve"> such</w:t>
      </w:r>
      <w:r w:rsidR="008853FA">
        <w:t xml:space="preserve"> that </w:t>
      </w:r>
      <w:r w:rsidR="00B42A18">
        <w:t>as partisanship has become more polarized, it has strengthened House leaders while weakening control of their Senate counterparts.</w:t>
      </w:r>
      <w:r w:rsidR="000F0725">
        <w:t xml:space="preserve"> </w:t>
      </w:r>
      <w:r>
        <w:t xml:space="preserve">Multiple layers of delegation, agenda control, voting rules and internal veto points create numerous nodes on the decision tree where some members and their preferred policy enjoy an advantage. </w:t>
      </w:r>
      <w:r w:rsidR="00B42A18">
        <w:t>As legislative leaders</w:t>
      </w:r>
      <w:r>
        <w:rPr>
          <w:color w:val="000000" w:themeColor="text1"/>
        </w:rPr>
        <w:t xml:space="preserve"> look down the decision tree </w:t>
      </w:r>
      <w:r w:rsidR="00DD1A07">
        <w:rPr>
          <w:color w:val="000000" w:themeColor="text1"/>
        </w:rPr>
        <w:t>to</w:t>
      </w:r>
      <w:r>
        <w:rPr>
          <w:color w:val="000000" w:themeColor="text1"/>
        </w:rPr>
        <w:t xml:space="preserve"> anticipate the </w:t>
      </w:r>
      <w:r w:rsidR="00DD1A07">
        <w:rPr>
          <w:color w:val="000000" w:themeColor="text1"/>
        </w:rPr>
        <w:t>actions</w:t>
      </w:r>
      <w:r>
        <w:rPr>
          <w:color w:val="000000" w:themeColor="text1"/>
        </w:rPr>
        <w:t xml:space="preserve"> of the other veto actors </w:t>
      </w:r>
      <w:r w:rsidR="00DD1A07">
        <w:rPr>
          <w:color w:val="000000" w:themeColor="text1"/>
        </w:rPr>
        <w:t>who will subsequently</w:t>
      </w:r>
      <w:r>
        <w:rPr>
          <w:color w:val="000000" w:themeColor="text1"/>
        </w:rPr>
        <w:t xml:space="preserve"> take their turn </w:t>
      </w:r>
      <w:r w:rsidR="000C5BFE">
        <w:rPr>
          <w:color w:val="000000" w:themeColor="text1"/>
        </w:rPr>
        <w:t>with the</w:t>
      </w:r>
      <w:r>
        <w:rPr>
          <w:color w:val="000000" w:themeColor="text1"/>
        </w:rPr>
        <w:t xml:space="preserve"> bill</w:t>
      </w:r>
      <w:r w:rsidR="000C5BFE">
        <w:rPr>
          <w:color w:val="000000" w:themeColor="text1"/>
        </w:rPr>
        <w:t>, they</w:t>
      </w:r>
      <w:r w:rsidR="00DD1A07">
        <w:rPr>
          <w:color w:val="000000" w:themeColor="text1"/>
        </w:rPr>
        <w:t xml:space="preserve"> might </w:t>
      </w:r>
      <w:r w:rsidR="000C5BFE">
        <w:rPr>
          <w:color w:val="000000" w:themeColor="text1"/>
        </w:rPr>
        <w:t>elect</w:t>
      </w:r>
      <w:r w:rsidR="008853FA">
        <w:rPr>
          <w:color w:val="000000" w:themeColor="text1"/>
        </w:rPr>
        <w:t xml:space="preserve"> </w:t>
      </w:r>
      <w:r w:rsidR="0096357B">
        <w:rPr>
          <w:color w:val="000000" w:themeColor="text1"/>
        </w:rPr>
        <w:t>to reroute</w:t>
      </w:r>
      <w:r w:rsidR="008853FA">
        <w:rPr>
          <w:color w:val="000000" w:themeColor="text1"/>
        </w:rPr>
        <w:t xml:space="preserve"> the </w:t>
      </w:r>
      <w:r w:rsidR="00DD1A07">
        <w:rPr>
          <w:color w:val="000000" w:themeColor="text1"/>
        </w:rPr>
        <w:t xml:space="preserve">legislative </w:t>
      </w:r>
      <w:r w:rsidR="000C5BFE">
        <w:rPr>
          <w:color w:val="000000" w:themeColor="text1"/>
        </w:rPr>
        <w:t>process in order to preserve their advantage or</w:t>
      </w:r>
      <w:r w:rsidR="008853FA">
        <w:rPr>
          <w:color w:val="000000" w:themeColor="text1"/>
        </w:rPr>
        <w:t xml:space="preserve"> to avoid late </w:t>
      </w:r>
      <w:r w:rsidR="001578F7">
        <w:rPr>
          <w:color w:val="000000" w:themeColor="text1"/>
        </w:rPr>
        <w:t xml:space="preserve">setbacks that </w:t>
      </w:r>
      <w:r w:rsidR="00D27BF0">
        <w:rPr>
          <w:color w:val="000000" w:themeColor="text1"/>
        </w:rPr>
        <w:t>could</w:t>
      </w:r>
      <w:r w:rsidR="001578F7">
        <w:rPr>
          <w:color w:val="000000" w:themeColor="text1"/>
        </w:rPr>
        <w:t xml:space="preserve"> kill the bill</w:t>
      </w:r>
      <w:r w:rsidR="000C5BFE">
        <w:rPr>
          <w:color w:val="000000" w:themeColor="text1"/>
        </w:rPr>
        <w:t>.</w:t>
      </w:r>
      <w:r w:rsidR="001578F7">
        <w:rPr>
          <w:color w:val="000000" w:themeColor="text1"/>
        </w:rPr>
        <w:t xml:space="preserve"> </w:t>
      </w:r>
      <w:r>
        <w:t xml:space="preserve">We are describing the standard </w:t>
      </w:r>
      <w:r w:rsidR="00DD1A07">
        <w:t>legislati</w:t>
      </w:r>
      <w:r w:rsidR="0096357B">
        <w:t xml:space="preserve">ve </w:t>
      </w:r>
      <w:r w:rsidR="000C5BFE">
        <w:t>practices</w:t>
      </w:r>
      <w:r w:rsidR="00DD1A07">
        <w:t>, but with a twist:</w:t>
      </w:r>
      <w:r>
        <w:t xml:space="preserve"> </w:t>
      </w:r>
      <w:r w:rsidR="00D27BF0">
        <w:t>by</w:t>
      </w:r>
      <w:r w:rsidR="00DD1A07">
        <w:t xml:space="preserve"> </w:t>
      </w:r>
      <w:r w:rsidR="0096357B">
        <w:t>strategically</w:t>
      </w:r>
      <w:r w:rsidR="001578F7">
        <w:t xml:space="preserve"> insert</w:t>
      </w:r>
      <w:r w:rsidR="00D27BF0">
        <w:t>ing</w:t>
      </w:r>
      <w:r w:rsidR="001578F7">
        <w:t xml:space="preserve"> </w:t>
      </w:r>
      <w:r w:rsidR="00D27BF0">
        <w:t>veto threats</w:t>
      </w:r>
      <w:r w:rsidR="001578F7">
        <w:t xml:space="preserve"> </w:t>
      </w:r>
      <w:r>
        <w:t>into deliberations</w:t>
      </w:r>
      <w:r w:rsidR="00D27BF0">
        <w:t>, presidents may be able to influence how legislative leaders structure deliberations</w:t>
      </w:r>
      <w:r>
        <w:t xml:space="preserve">. </w:t>
      </w:r>
    </w:p>
    <w:p w:rsidR="00C90BFB" w:rsidRDefault="00991ACC" w:rsidP="00C90BFB">
      <w:r>
        <w:t>Int</w:t>
      </w:r>
      <w:r w:rsidR="00C90BFB">
        <w:t>o th</w:t>
      </w:r>
      <w:r>
        <w:t>is</w:t>
      </w:r>
      <w:r w:rsidR="00C90BFB">
        <w:t xml:space="preserve"> institutional setting</w:t>
      </w:r>
      <w:r>
        <w:t xml:space="preserve"> we</w:t>
      </w:r>
      <w:r w:rsidR="00C90BFB">
        <w:t xml:space="preserve"> must </w:t>
      </w:r>
      <w:r>
        <w:t xml:space="preserve">also </w:t>
      </w:r>
      <w:r w:rsidR="00C90BFB">
        <w:t xml:space="preserve">fully incorporate </w:t>
      </w:r>
      <w:r>
        <w:t>partisanship</w:t>
      </w:r>
      <w:r w:rsidR="00C90BFB">
        <w:t xml:space="preserve">. For most of its history </w:t>
      </w:r>
      <w:r w:rsidR="0096357B">
        <w:t>legislators and presidents</w:t>
      </w:r>
      <w:r w:rsidR="00C90BFB">
        <w:t xml:space="preserve"> have </w:t>
      </w:r>
      <w:r w:rsidR="002E3CE4">
        <w:t>affiliated</w:t>
      </w:r>
      <w:r w:rsidR="00C90BFB">
        <w:t xml:space="preserve"> </w:t>
      </w:r>
      <w:r w:rsidR="0096357B">
        <w:t>with one of the</w:t>
      </w:r>
      <w:r w:rsidR="00C90BFB">
        <w:t xml:space="preserve"> two </w:t>
      </w:r>
      <w:r w:rsidR="0096357B">
        <w:t xml:space="preserve">major political </w:t>
      </w:r>
      <w:r w:rsidR="00C90BFB">
        <w:t>part</w:t>
      </w:r>
      <w:r w:rsidR="0096357B">
        <w:t>ies</w:t>
      </w:r>
      <w:r w:rsidR="00C90BFB">
        <w:t xml:space="preserve">. A party’s </w:t>
      </w:r>
      <w:r w:rsidR="0096357B">
        <w:t xml:space="preserve">congressional </w:t>
      </w:r>
      <w:r w:rsidR="00C90BFB">
        <w:t xml:space="preserve">performance </w:t>
      </w:r>
      <w:r w:rsidR="0096357B">
        <w:t>may burnish or tarnish</w:t>
      </w:r>
      <w:r w:rsidR="00C90BFB">
        <w:t xml:space="preserve"> its brand reputation</w:t>
      </w:r>
      <w:r w:rsidR="0096357B">
        <w:t xml:space="preserve"> with</w:t>
      </w:r>
      <w:r w:rsidR="00315F1A">
        <w:t xml:space="preserve"> voters</w:t>
      </w:r>
      <w:r w:rsidR="0096357B">
        <w:t xml:space="preserve">. </w:t>
      </w:r>
      <w:r w:rsidR="002E3CE4">
        <w:t>Similarly, p</w:t>
      </w:r>
      <w:r w:rsidR="000D6953">
        <w:t>residents’ pr</w:t>
      </w:r>
      <w:r w:rsidR="002E3CE4">
        <w:t>omises and performance serve as</w:t>
      </w:r>
      <w:r w:rsidR="00C90BFB">
        <w:t xml:space="preserve"> focal point</w:t>
      </w:r>
      <w:r w:rsidR="002E3CE4">
        <w:t>s</w:t>
      </w:r>
      <w:r w:rsidR="00C90BFB">
        <w:t xml:space="preserve"> </w:t>
      </w:r>
      <w:r w:rsidR="000D6953">
        <w:t>with which voters appraise the presidential party’s brand</w:t>
      </w:r>
      <w:r w:rsidR="00C90BFB" w:rsidRPr="00BD0FDA">
        <w:t xml:space="preserve"> </w:t>
      </w:r>
      <w:r w:rsidR="002E3CE4">
        <w:t xml:space="preserve">as they decide between congressional candidates </w:t>
      </w:r>
      <w:r w:rsidR="00C90BFB" w:rsidRPr="00BD0FDA">
        <w:t xml:space="preserve">(Jacobson 2015). </w:t>
      </w:r>
      <w:r w:rsidR="00C90BFB">
        <w:t xml:space="preserve"> </w:t>
      </w:r>
      <w:r w:rsidR="002E3CE4">
        <w:t>This</w:t>
      </w:r>
      <w:r w:rsidR="00315F1A">
        <w:t xml:space="preserve"> motivates the president’s co</w:t>
      </w:r>
      <w:r w:rsidR="002E3CE4">
        <w:t>-</w:t>
      </w:r>
      <w:r w:rsidR="00315F1A">
        <w:t xml:space="preserve">partisans to support the administration program </w:t>
      </w:r>
      <w:r w:rsidR="008517CC">
        <w:t>while reinforcing the opposition party’s efforts to defeat it.</w:t>
      </w:r>
      <w:r w:rsidR="00315F1A">
        <w:t xml:space="preserve"> </w:t>
      </w:r>
      <w:r w:rsidR="00C90BFB" w:rsidRPr="00BD0FDA">
        <w:t xml:space="preserve">“Regardless of their [legislators’] views on the policy merits of a presidential initiative,” concludes Lee (2008: 914), “how they handle a president’s priorities will affect his party’s collective reputation. Presidential successes create credit-claiming opportunities for the president’s party.” </w:t>
      </w:r>
      <w:r w:rsidR="00C90BFB">
        <w:t>When presidents publicly threaten to veto a bill</w:t>
      </w:r>
      <w:r w:rsidR="002E3CE4">
        <w:t xml:space="preserve"> – particularly</w:t>
      </w:r>
      <w:r w:rsidR="00C90BFB">
        <w:t>,</w:t>
      </w:r>
      <w:r w:rsidR="002E3CE4">
        <w:t xml:space="preserve"> on policies with which the parties publicly disagree </w:t>
      </w:r>
      <w:r w:rsidR="000C5BFE">
        <w:t>– they</w:t>
      </w:r>
      <w:r w:rsidR="00C90BFB">
        <w:t xml:space="preserve"> are putting their party’s </w:t>
      </w:r>
      <w:r w:rsidR="002E3CE4">
        <w:t xml:space="preserve">brand </w:t>
      </w:r>
      <w:r w:rsidR="00C90BFB">
        <w:t xml:space="preserve">reputation on the line.  As a result, some </w:t>
      </w:r>
      <w:r w:rsidR="002E3CE4">
        <w:t xml:space="preserve">number </w:t>
      </w:r>
      <w:r w:rsidR="00C90BFB">
        <w:t xml:space="preserve">of the president’s partisans will, if necessary, alter their stance on legislation in order to </w:t>
      </w:r>
      <w:r w:rsidR="002E3CE4">
        <w:t>contribute to the president’s success.</w:t>
      </w:r>
      <w:r w:rsidR="00C90BFB" w:rsidRPr="00BD0FDA">
        <w:rPr>
          <w:rStyle w:val="FootnoteReference"/>
        </w:rPr>
        <w:footnoteReference w:id="5"/>
      </w:r>
      <w:r w:rsidR="00C90BFB">
        <w:t xml:space="preserve">  </w:t>
      </w:r>
      <w:r w:rsidR="002E3CE4">
        <w:t>Congressional</w:t>
      </w:r>
      <w:r w:rsidR="00C90BFB">
        <w:t xml:space="preserve"> leaders, allied with the president, </w:t>
      </w:r>
      <w:r w:rsidR="002E3CE4">
        <w:t xml:space="preserve">will </w:t>
      </w:r>
      <w:r w:rsidR="00C90BFB">
        <w:t xml:space="preserve">seek to rein in wayward legislators </w:t>
      </w:r>
      <w:r w:rsidR="002E3CE4">
        <w:t xml:space="preserve">to back the president. They may even </w:t>
      </w:r>
      <w:r w:rsidR="00C90BFB">
        <w:t xml:space="preserve">ask the president to </w:t>
      </w:r>
      <w:r w:rsidR="002E3CE4">
        <w:t xml:space="preserve">up the ante by delivering (or repeating) </w:t>
      </w:r>
      <w:r w:rsidR="00C90BFB">
        <w:t>a public veto threat.</w:t>
      </w:r>
      <w:r w:rsidR="00C90BFB">
        <w:rPr>
          <w:rStyle w:val="FootnoteReference"/>
        </w:rPr>
        <w:footnoteReference w:id="6"/>
      </w:r>
      <w:r w:rsidR="00C90BFB">
        <w:t xml:space="preserve"> </w:t>
      </w:r>
      <w:r w:rsidR="00C90BFB" w:rsidRPr="0022654C">
        <w:t>Opposition partisans</w:t>
      </w:r>
      <w:r w:rsidR="008B55E0">
        <w:t>,</w:t>
      </w:r>
      <w:r w:rsidR="00C90BFB" w:rsidRPr="0022654C">
        <w:t xml:space="preserve"> conversely, </w:t>
      </w:r>
      <w:r w:rsidR="00341752">
        <w:t>will look for ways</w:t>
      </w:r>
      <w:r w:rsidR="00C90BFB" w:rsidRPr="0022654C">
        <w:t xml:space="preserve"> to defeat and embarrass </w:t>
      </w:r>
      <w:r w:rsidR="008B55E0">
        <w:t>the other party’s</w:t>
      </w:r>
      <w:r w:rsidR="00C90BFB" w:rsidRPr="0022654C">
        <w:t xml:space="preserve"> presidents, and by association their </w:t>
      </w:r>
      <w:r w:rsidR="008B55E0">
        <w:t>co</w:t>
      </w:r>
      <w:r w:rsidR="005D51CB">
        <w:t>-</w:t>
      </w:r>
      <w:r w:rsidR="008B55E0">
        <w:t>partisans</w:t>
      </w:r>
      <w:r w:rsidR="00C90BFB" w:rsidRPr="0022654C">
        <w:t xml:space="preserve"> in Congress (</w:t>
      </w:r>
      <w:proofErr w:type="spellStart"/>
      <w:r w:rsidR="00C90BFB" w:rsidRPr="0022654C">
        <w:t>Groseclose</w:t>
      </w:r>
      <w:proofErr w:type="spellEnd"/>
      <w:r w:rsidR="00C90BFB" w:rsidRPr="0022654C">
        <w:t xml:space="preserve"> and McCarty 1997).  </w:t>
      </w:r>
      <w:r w:rsidR="00C90BFB">
        <w:t>Consequently, w</w:t>
      </w:r>
      <w:r w:rsidR="00C90BFB" w:rsidRPr="0022654C">
        <w:t>hen presidents stake out clear positions, party preferences in Congress tend to separate and harden (</w:t>
      </w:r>
      <w:proofErr w:type="spellStart"/>
      <w:r w:rsidR="00C90BFB" w:rsidRPr="0022654C">
        <w:t>Fett</w:t>
      </w:r>
      <w:proofErr w:type="spellEnd"/>
      <w:r w:rsidR="00C90BFB" w:rsidRPr="0022654C">
        <w:t xml:space="preserve"> 1992</w:t>
      </w:r>
      <w:r w:rsidR="00C90BFB">
        <w:t xml:space="preserve"> and 1994; Lee 2008). </w:t>
      </w:r>
    </w:p>
    <w:p w:rsidR="00C90BFB" w:rsidRDefault="00C90BFB" w:rsidP="00C90BFB">
      <w:r>
        <w:t xml:space="preserve">To summarize, </w:t>
      </w:r>
      <w:r w:rsidR="0006072E">
        <w:t>veto threat</w:t>
      </w:r>
      <w:r>
        <w:t xml:space="preserve"> bargaining has legislators (including presidents) pursuing policy provisions according to their diverse constituent interests and shared party stakes. They assemble these preferences into bundle</w:t>
      </w:r>
      <w:r w:rsidR="00776651">
        <w:t>s</w:t>
      </w:r>
      <w:r>
        <w:t xml:space="preserve"> of discrete (</w:t>
      </w:r>
      <w:r w:rsidR="00F86A25">
        <w:t>sometimes</w:t>
      </w:r>
      <w:r>
        <w:t xml:space="preserve">, disparate) policy provisions according to the dictates of each veto actor. </w:t>
      </w:r>
      <w:r w:rsidRPr="00BD0FDA">
        <w:t xml:space="preserve">A </w:t>
      </w:r>
      <w:r>
        <w:t xml:space="preserve">credible </w:t>
      </w:r>
      <w:r w:rsidRPr="00BD0FDA">
        <w:t xml:space="preserve">veto threat sets into motion a bargaining game </w:t>
      </w:r>
      <w:r>
        <w:t>among the</w:t>
      </w:r>
      <w:r w:rsidRPr="00BD0FDA">
        <w:t xml:space="preserve"> partisan teams</w:t>
      </w:r>
      <w:r>
        <w:t xml:space="preserve"> that control these several institutions</w:t>
      </w:r>
      <w:r w:rsidRPr="00BD0FDA">
        <w:t xml:space="preserve">. </w:t>
      </w:r>
      <w:r>
        <w:t xml:space="preserve">We turn now to the implications of this general model for the impact of veto threats </w:t>
      </w:r>
      <w:r w:rsidR="001E547B">
        <w:t>in the specific context of the modern bicameral Congress</w:t>
      </w:r>
      <w:r>
        <w:t>.</w:t>
      </w:r>
    </w:p>
    <w:p w:rsidR="00C90BFB" w:rsidRPr="00C80A9B" w:rsidRDefault="00C90BFB" w:rsidP="00C90BFB">
      <w:pPr>
        <w:pStyle w:val="Heading3"/>
        <w:framePr w:wrap="auto" w:vAnchor="margin" w:yAlign="inline"/>
      </w:pPr>
      <w:r w:rsidRPr="00C80A9B">
        <w:t>House of Representatives and the Senate</w:t>
      </w:r>
    </w:p>
    <w:p w:rsidR="00C90BFB" w:rsidRDefault="00C90BFB" w:rsidP="00C90BFB">
      <w:pPr>
        <w:rPr>
          <w:i/>
        </w:rPr>
      </w:pPr>
      <w:r w:rsidRPr="00BD0FDA">
        <w:t xml:space="preserve">With the House </w:t>
      </w:r>
      <w:r>
        <w:t xml:space="preserve">of Representatives </w:t>
      </w:r>
      <w:r w:rsidRPr="00BD0FDA">
        <w:t xml:space="preserve">organized to secure the majority party caucus’s preferences </w:t>
      </w:r>
      <w:r w:rsidRPr="00BD0FDA">
        <w:rPr>
          <w:noProof/>
        </w:rPr>
        <w:t>(Cox and McCubbins 1993; Rohde 1991)</w:t>
      </w:r>
      <w:r w:rsidRPr="00BD0FDA">
        <w:t xml:space="preserve"> and block minority party initiatives (Cox and </w:t>
      </w:r>
      <w:proofErr w:type="spellStart"/>
      <w:r w:rsidRPr="00BD0FDA">
        <w:t>McCubbins</w:t>
      </w:r>
      <w:proofErr w:type="spellEnd"/>
      <w:r w:rsidRPr="00BD0FDA">
        <w:t xml:space="preserve"> 2005), the president’s co-parti</w:t>
      </w:r>
      <w:r>
        <w:t>sans have little, if any, opport</w:t>
      </w:r>
      <w:r w:rsidRPr="00BD0FDA">
        <w:t>unity to remove threatened provisions.</w:t>
      </w:r>
      <w:r w:rsidRPr="00BD0FDA">
        <w:rPr>
          <w:rStyle w:val="FootnoteReference"/>
        </w:rPr>
        <w:footnoteReference w:id="7"/>
      </w:r>
      <w:r>
        <w:t xml:space="preserve"> Cox and </w:t>
      </w:r>
      <w:proofErr w:type="spellStart"/>
      <w:r>
        <w:t>McCubbins</w:t>
      </w:r>
      <w:proofErr w:type="spellEnd"/>
      <w:r>
        <w:t xml:space="preserve"> (1993:122) argue that the majority party administers the House of Representatives’ agenda in part to frustrate opposition presidents and </w:t>
      </w:r>
      <w:r w:rsidRPr="00BD0FDA">
        <w:t xml:space="preserve">shift </w:t>
      </w:r>
      <w:r>
        <w:t xml:space="preserve">the </w:t>
      </w:r>
      <w:r w:rsidRPr="00BD0FDA">
        <w:t>“partisan electoral tides</w:t>
      </w:r>
      <w:r>
        <w:t>” in the next election. The majority party controls numerous advantages in delegating discretionary authority and controlling the legislative agenda. One of more determinative and visible instruments of majority party is control of the Rules Committee, which sets the terms of a bill’s consideration</w:t>
      </w:r>
      <w:r w:rsidR="00F86A25">
        <w:t xml:space="preserve"> on the chamber floor</w:t>
      </w:r>
      <w:r>
        <w:t xml:space="preserve">, including whether and </w:t>
      </w:r>
      <w:r w:rsidR="00F86A25">
        <w:t>which amendments may be offered</w:t>
      </w:r>
      <w:r>
        <w:t xml:space="preserve">.  In prediction </w:t>
      </w:r>
      <w:r w:rsidRPr="008517CC">
        <w:rPr>
          <w:i/>
        </w:rPr>
        <w:t>IA</w:t>
      </w:r>
      <w:r>
        <w:t xml:space="preserve"> we test the expectation that an opposition-controlled House will resist veto threats. The Rules Committee is more likely to attach to threatened bills restrictive or closed rules, making it difficult for the president’s partisans to remove objectionable provisions.  </w:t>
      </w:r>
      <w:r>
        <w:rPr>
          <w:i/>
        </w:rPr>
        <w:tab/>
      </w:r>
    </w:p>
    <w:p w:rsidR="00C90BFB" w:rsidRDefault="00C90BFB" w:rsidP="00C26697">
      <w:pPr>
        <w:pStyle w:val="referencessinglespaceinternal"/>
        <w:rPr>
          <w:i/>
        </w:rPr>
      </w:pPr>
      <w:r>
        <w:rPr>
          <w:i/>
        </w:rPr>
        <w:tab/>
        <w:t>1</w:t>
      </w:r>
      <w:r w:rsidRPr="006A13C2">
        <w:rPr>
          <w:i/>
        </w:rPr>
        <w:t>A:</w:t>
      </w:r>
      <w:r w:rsidRPr="006A13C2">
        <w:t xml:space="preserve"> The House Rules Committee </w:t>
      </w:r>
      <w:r>
        <w:t>responds to veto threats by</w:t>
      </w:r>
      <w:r w:rsidRPr="006A13C2">
        <w:t xml:space="preserve"> </w:t>
      </w:r>
      <w:r>
        <w:t>adding</w:t>
      </w:r>
      <w:r w:rsidRPr="006A13C2">
        <w:t xml:space="preserve"> closed and restrictive rules.</w:t>
      </w:r>
      <w:r>
        <w:t xml:space="preserve"> </w:t>
      </w:r>
      <w:r>
        <w:rPr>
          <w:i/>
        </w:rPr>
        <w:tab/>
      </w:r>
    </w:p>
    <w:p w:rsidR="00C90BFB" w:rsidRPr="00374473" w:rsidRDefault="00C90BFB" w:rsidP="000269F5">
      <w:r w:rsidRPr="00BD0FDA">
        <w:t>The Senate</w:t>
      </w:r>
      <w:r>
        <w:t>’s institutional arrangements are much</w:t>
      </w:r>
      <w:r w:rsidRPr="00BD0FDA">
        <w:t xml:space="preserve"> different. </w:t>
      </w:r>
      <w:r>
        <w:t>Individual members retain extensive prerogatives, such as unbridled access to the chamber’s floor. This in turn open</w:t>
      </w:r>
      <w:r w:rsidR="00341752">
        <w:t>s</w:t>
      </w:r>
      <w:r>
        <w:t xml:space="preserve"> the door to m</w:t>
      </w:r>
      <w:r w:rsidRPr="00BD0FDA">
        <w:t xml:space="preserve">odern </w:t>
      </w:r>
      <w:r>
        <w:t xml:space="preserve">filibuster </w:t>
      </w:r>
      <w:proofErr w:type="gramStart"/>
      <w:r>
        <w:t>practices which</w:t>
      </w:r>
      <w:proofErr w:type="gramEnd"/>
      <w:r>
        <w:t xml:space="preserve"> the president’s co-partisans may be quick to invoke against an opposition controlled chamber </w:t>
      </w:r>
      <w:r>
        <w:rPr>
          <w:i/>
        </w:rPr>
        <w:t>(</w:t>
      </w:r>
      <w:r w:rsidR="008517CC">
        <w:rPr>
          <w:i/>
        </w:rPr>
        <w:t>1B</w:t>
      </w:r>
      <w:r>
        <w:rPr>
          <w:i/>
        </w:rPr>
        <w:t>)</w:t>
      </w:r>
      <w:r>
        <w:t>. Raising the bar</w:t>
      </w:r>
      <w:r w:rsidRPr="00BD0FDA">
        <w:t xml:space="preserve"> for passing threatened bills from 51 percent of those voting to 60 percent of the membership</w:t>
      </w:r>
      <w:r>
        <w:t xml:space="preserve"> will normally require Senate leaders to accommodate the president’s allies </w:t>
      </w:r>
      <w:r w:rsidR="008517CC">
        <w:t>(</w:t>
      </w:r>
      <w:r>
        <w:t>or abandon the bill</w:t>
      </w:r>
      <w:r w:rsidR="008517CC">
        <w:t>)</w:t>
      </w:r>
      <w:r>
        <w:t xml:space="preserve"> </w:t>
      </w:r>
      <w:r w:rsidR="008517CC">
        <w:t>to a greater extent than House leaders</w:t>
      </w:r>
      <w:r>
        <w:t xml:space="preserve">. The highly </w:t>
      </w:r>
      <w:r w:rsidR="00FE607C">
        <w:t>divergent</w:t>
      </w:r>
      <w:r>
        <w:t xml:space="preserve"> implications of these chamber’s institutional arrangements suggest that presidents will enjoy greater success in extracting objectionable provisi</w:t>
      </w:r>
      <w:r w:rsidR="00F17A06">
        <w:t>on in the Senate than the House</w:t>
      </w:r>
      <w:r w:rsidR="008517CC">
        <w:t xml:space="preserve"> of Representatives </w:t>
      </w:r>
      <w:r w:rsidR="008517CC">
        <w:rPr>
          <w:i/>
        </w:rPr>
        <w:t>(1C)</w:t>
      </w:r>
      <w:r w:rsidR="00F17A06">
        <w:t>.</w:t>
      </w:r>
    </w:p>
    <w:p w:rsidR="00C90BFB" w:rsidRPr="00DD5136" w:rsidRDefault="000269F5" w:rsidP="00DD5136">
      <w:pPr>
        <w:pStyle w:val="referencessinglespaceinternal"/>
      </w:pPr>
      <w:r>
        <w:rPr>
          <w:i/>
        </w:rPr>
        <w:t>1B</w:t>
      </w:r>
      <w:r w:rsidR="00C90BFB" w:rsidRPr="00DD5136">
        <w:rPr>
          <w:i/>
        </w:rPr>
        <w:t>:</w:t>
      </w:r>
      <w:r w:rsidR="00C90BFB" w:rsidRPr="00DD5136">
        <w:t xml:space="preserve"> Veto threats trigger filibuster threats. </w:t>
      </w:r>
    </w:p>
    <w:p w:rsidR="00C90BFB" w:rsidRPr="00DD5136" w:rsidRDefault="00C90BFB" w:rsidP="00DD5136">
      <w:pPr>
        <w:pStyle w:val="referencessinglespaceinternal"/>
      </w:pPr>
    </w:p>
    <w:p w:rsidR="00C90BFB" w:rsidRDefault="000269F5" w:rsidP="00FB5B62">
      <w:pPr>
        <w:pStyle w:val="referencessinglespaceinternal"/>
        <w:rPr>
          <w:i/>
        </w:rPr>
      </w:pPr>
      <w:r>
        <w:rPr>
          <w:i/>
        </w:rPr>
        <w:t>1C</w:t>
      </w:r>
      <w:r w:rsidR="00C90BFB" w:rsidRPr="00DD5136">
        <w:t xml:space="preserve">: </w:t>
      </w:r>
      <w:r w:rsidRPr="00DD5136">
        <w:t xml:space="preserve">The </w:t>
      </w:r>
      <w:r w:rsidR="00C90BFB" w:rsidRPr="00DD5136">
        <w:t xml:space="preserve">Senate will </w:t>
      </w:r>
      <w:r>
        <w:t xml:space="preserve">be more responsive to veto threats than the House of Representatives in </w:t>
      </w:r>
      <w:r w:rsidR="00C90BFB" w:rsidRPr="00DD5136">
        <w:t>remov</w:t>
      </w:r>
      <w:r>
        <w:t>ing</w:t>
      </w:r>
      <w:r w:rsidR="00C90BFB" w:rsidRPr="00DD5136">
        <w:t xml:space="preserve"> or modify</w:t>
      </w:r>
      <w:r>
        <w:t>ing</w:t>
      </w:r>
      <w:r w:rsidR="00C90BFB" w:rsidRPr="00DD5136">
        <w:t xml:space="preserve"> objectionable provisions. </w:t>
      </w:r>
    </w:p>
    <w:p w:rsidR="006F0B46" w:rsidRDefault="00BE2A61" w:rsidP="006F0B46">
      <w:pPr>
        <w:pStyle w:val="Heading3"/>
        <w:framePr w:wrap="around"/>
      </w:pPr>
      <w:r>
        <w:t>Veto Threat</w:t>
      </w:r>
      <w:r w:rsidR="001056F1">
        <w:t xml:space="preserve"> Bargaining As</w:t>
      </w:r>
      <w:r>
        <w:t xml:space="preserve"> a</w:t>
      </w:r>
      <w:r w:rsidR="006F0B46" w:rsidRPr="009B3CB5">
        <w:t xml:space="preserve"> Haggl</w:t>
      </w:r>
      <w:r w:rsidR="001056F1">
        <w:t>e</w:t>
      </w:r>
    </w:p>
    <w:p w:rsidR="00D956EE" w:rsidRDefault="00D956EE" w:rsidP="006F0B46"/>
    <w:p w:rsidR="005106BF" w:rsidRDefault="006F0B46" w:rsidP="006F0B46">
      <w:r>
        <w:t xml:space="preserve">The </w:t>
      </w:r>
      <w:proofErr w:type="gramStart"/>
      <w:r>
        <w:t>House’s</w:t>
      </w:r>
      <w:proofErr w:type="gramEnd"/>
      <w:r>
        <w:t xml:space="preserve"> and Senate’s institutional practices are long-standing and predictable. </w:t>
      </w:r>
      <w:r w:rsidR="00BE2A61">
        <w:t>This allows l</w:t>
      </w:r>
      <w:r>
        <w:t xml:space="preserve">egislators </w:t>
      </w:r>
      <w:r w:rsidR="00BE2A61">
        <w:t>to</w:t>
      </w:r>
      <w:r>
        <w:t xml:space="preserve"> anticipate the chambers’ </w:t>
      </w:r>
      <w:r w:rsidR="001056F1">
        <w:t xml:space="preserve">and the president’s </w:t>
      </w:r>
      <w:r>
        <w:t xml:space="preserve">preferences as they </w:t>
      </w:r>
      <w:r w:rsidR="00BE2A61">
        <w:t>plan</w:t>
      </w:r>
      <w:r>
        <w:t xml:space="preserve"> their legislative </w:t>
      </w:r>
      <w:r w:rsidR="00BE2A61">
        <w:t>calendars</w:t>
      </w:r>
      <w:r>
        <w:t xml:space="preserve">. </w:t>
      </w:r>
      <w:r w:rsidR="00A62043">
        <w:t>Here, we ask, m</w:t>
      </w:r>
      <w:r w:rsidR="00903FCB">
        <w:t xml:space="preserve">ight these anticipated responses veer veto threat bargaining down a different </w:t>
      </w:r>
      <w:r w:rsidR="00A62043">
        <w:t xml:space="preserve">path – specifically, a legislative </w:t>
      </w:r>
      <w:r w:rsidR="00903FCB">
        <w:t xml:space="preserve">sequence </w:t>
      </w:r>
      <w:r w:rsidR="00A62043">
        <w:t xml:space="preserve">designed to </w:t>
      </w:r>
      <w:r w:rsidR="00341752">
        <w:t xml:space="preserve">timely elicit presidents’ objections and give Congress an opportunity to discover a legislative bundle acceptable to each veto player? </w:t>
      </w:r>
      <w:r w:rsidR="009F2B9C">
        <w:t xml:space="preserve">The particular legislative </w:t>
      </w:r>
      <w:r w:rsidR="0077600C">
        <w:t>sequence</w:t>
      </w:r>
      <w:r w:rsidR="009F2B9C">
        <w:t xml:space="preserve"> we have in mind </w:t>
      </w:r>
      <w:r w:rsidR="00341752">
        <w:t>takes the form of</w:t>
      </w:r>
      <w:r w:rsidR="0077600C">
        <w:t xml:space="preserve"> </w:t>
      </w:r>
      <w:r w:rsidR="009F2B9C">
        <w:t xml:space="preserve">a haggling negotiation. </w:t>
      </w:r>
      <w:r w:rsidR="00341752">
        <w:t xml:space="preserve">The </w:t>
      </w:r>
      <w:r w:rsidR="00EF58E4">
        <w:t>chamber</w:t>
      </w:r>
      <w:r w:rsidR="00341752">
        <w:t xml:space="preserve"> holding extreme preferences </w:t>
      </w:r>
      <w:r w:rsidR="00EF58E4">
        <w:t>bid</w:t>
      </w:r>
      <w:r w:rsidR="00341752">
        <w:t>s first, drawing out the president’s objections.</w:t>
      </w:r>
      <w:r w:rsidR="000533AC">
        <w:rPr>
          <w:rStyle w:val="FootnoteReference"/>
        </w:rPr>
        <w:footnoteReference w:id="8"/>
      </w:r>
      <w:r w:rsidR="00341752">
        <w:t xml:space="preserve"> Once the extreme preferences are on the table, legislative deliberations can proceed as a haggling negotiation as the several sides converge toward a more moderate, mutually acceptable policy, if one exists (Cameron and McCarty 2004).   </w:t>
      </w:r>
    </w:p>
    <w:p w:rsidR="006F0B46" w:rsidRDefault="006F0B46" w:rsidP="006F0B46">
      <w:r>
        <w:t xml:space="preserve">Taylor (2009) develops this intuition into a </w:t>
      </w:r>
      <w:proofErr w:type="gramStart"/>
      <w:r>
        <w:t>model which</w:t>
      </w:r>
      <w:proofErr w:type="gramEnd"/>
      <w:r>
        <w:t xml:space="preserve"> has House and Senate leaders coordinating the sequence of deliberation so that the chamber that is more ideologically distant from the president opens </w:t>
      </w:r>
      <w:r w:rsidR="005106BF">
        <w:t xml:space="preserve">bidding </w:t>
      </w:r>
      <w:r>
        <w:t xml:space="preserve">with its preferred bill.  Analyzing legislative sequences for nearly a thousand bills from 1955 through 2002, he </w:t>
      </w:r>
      <w:r w:rsidR="005106BF">
        <w:t>finds</w:t>
      </w:r>
      <w:r>
        <w:t xml:space="preserve"> that when the opposition control</w:t>
      </w:r>
      <w:r w:rsidR="005106BF">
        <w:t>led</w:t>
      </w:r>
      <w:r>
        <w:t xml:space="preserve"> both chambers, the more ideologically distant chamber, as measured by </w:t>
      </w:r>
      <w:r w:rsidR="000533AC">
        <w:t xml:space="preserve">median members’ </w:t>
      </w:r>
      <w:r>
        <w:t xml:space="preserve">DW-Nominate ratings, initiated significantly more bills than did </w:t>
      </w:r>
      <w:r w:rsidR="005106BF">
        <w:t>its</w:t>
      </w:r>
      <w:r>
        <w:t xml:space="preserve"> more moderate </w:t>
      </w:r>
      <w:r w:rsidR="005106BF">
        <w:t>counterpart</w:t>
      </w:r>
      <w:r>
        <w:t xml:space="preserve">. Following this logic, prediction </w:t>
      </w:r>
      <w:r w:rsidR="000269F5">
        <w:rPr>
          <w:i/>
        </w:rPr>
        <w:t>2A</w:t>
      </w:r>
      <w:r>
        <w:t xml:space="preserve"> hypothesizes that presidents will concentrate their threats on the </w:t>
      </w:r>
      <w:r w:rsidR="00F86A25">
        <w:t xml:space="preserve">provisions of the </w:t>
      </w:r>
      <w:r>
        <w:t xml:space="preserve">first-mover’s bill. </w:t>
      </w:r>
    </w:p>
    <w:p w:rsidR="00E8076A" w:rsidRDefault="006F0B46" w:rsidP="00E8076A">
      <w:pPr>
        <w:rPr>
          <w:i/>
        </w:rPr>
      </w:pPr>
      <w:r>
        <w:t xml:space="preserve">If </w:t>
      </w:r>
      <w:r w:rsidR="004F4323">
        <w:t xml:space="preserve">such </w:t>
      </w:r>
      <w:r>
        <w:t xml:space="preserve">a haggle </w:t>
      </w:r>
      <w:r w:rsidR="00F86A25">
        <w:t xml:space="preserve">is to succeed in </w:t>
      </w:r>
      <w:r w:rsidR="004F4323">
        <w:t>creating</w:t>
      </w:r>
      <w:r>
        <w:t xml:space="preserve"> </w:t>
      </w:r>
      <w:r w:rsidR="00F86A25">
        <w:t>a new law</w:t>
      </w:r>
      <w:r>
        <w:t xml:space="preserve">, the next </w:t>
      </w:r>
      <w:r w:rsidR="00515027">
        <w:t>consequential</w:t>
      </w:r>
      <w:r w:rsidR="00D064A4">
        <w:t xml:space="preserve"> </w:t>
      </w:r>
      <w:r w:rsidR="004F4323">
        <w:t>move</w:t>
      </w:r>
      <w:r>
        <w:t xml:space="preserve"> will </w:t>
      </w:r>
      <w:r w:rsidR="00012674">
        <w:t xml:space="preserve">likely </w:t>
      </w:r>
      <w:r w:rsidR="002D5EC3">
        <w:t xml:space="preserve">involve </w:t>
      </w:r>
      <w:r w:rsidR="00D064A4">
        <w:t>some modification of</w:t>
      </w:r>
      <w:r w:rsidR="002D5EC3">
        <w:t xml:space="preserve"> the </w:t>
      </w:r>
      <w:r w:rsidR="00515027">
        <w:t xml:space="preserve">initial </w:t>
      </w:r>
      <w:r w:rsidR="00D064A4">
        <w:t xml:space="preserve">proposal that </w:t>
      </w:r>
      <w:r w:rsidR="00012674">
        <w:t>brings the bill closer to</w:t>
      </w:r>
      <w:r w:rsidR="00D064A4">
        <w:t xml:space="preserve"> the president’s </w:t>
      </w:r>
      <w:r w:rsidR="00012674">
        <w:t>preferences</w:t>
      </w:r>
      <w:r>
        <w:t>.</w:t>
      </w:r>
      <w:r w:rsidR="00375029">
        <w:rPr>
          <w:rStyle w:val="FootnoteReference"/>
        </w:rPr>
        <w:footnoteReference w:id="9"/>
      </w:r>
      <w:r w:rsidR="00375029">
        <w:t xml:space="preserve"> </w:t>
      </w:r>
      <w:r>
        <w:t xml:space="preserve">  </w:t>
      </w:r>
      <w:r w:rsidR="00515027">
        <w:t xml:space="preserve">Since presidents issue many of their threats as the first chamber takes up the issue for floor consideration, </w:t>
      </w:r>
      <w:r w:rsidR="00012674">
        <w:t xml:space="preserve">we have in Figure 2 distinguished the chamber’s proposing action (e.g. a committee report) from its final floor action. Consequently, the </w:t>
      </w:r>
      <w:r w:rsidR="00515027">
        <w:t xml:space="preserve">second move </w:t>
      </w:r>
      <w:r w:rsidR="00012674">
        <w:t>can</w:t>
      </w:r>
      <w:r w:rsidR="00515027">
        <w:t xml:space="preserve"> be made by either the </w:t>
      </w:r>
      <w:r w:rsidR="000529D1">
        <w:t xml:space="preserve">first-moving, more </w:t>
      </w:r>
      <w:r w:rsidR="00515027">
        <w:t xml:space="preserve">extreme </w:t>
      </w:r>
      <w:r w:rsidR="000529D1">
        <w:t xml:space="preserve">chamber or by the </w:t>
      </w:r>
      <w:r w:rsidR="00515027">
        <w:t xml:space="preserve">more moderate chamber. For a variety of reasons, we </w:t>
      </w:r>
      <w:r w:rsidR="002574DB">
        <w:t>should</w:t>
      </w:r>
      <w:r>
        <w:t xml:space="preserve"> fall more </w:t>
      </w:r>
      <w:r w:rsidR="00E8076A">
        <w:t>easily</w:t>
      </w:r>
      <w:r>
        <w:t xml:space="preserve"> on the second chamber. </w:t>
      </w:r>
      <w:r w:rsidR="00012674">
        <w:t>There are several reasons for expecting the second chamber to take the next step in the haggle.  First, i</w:t>
      </w:r>
      <w:r w:rsidR="00515027">
        <w:t xml:space="preserve">t </w:t>
      </w:r>
      <w:r w:rsidR="00012674">
        <w:t xml:space="preserve">presumably </w:t>
      </w:r>
      <w:r w:rsidR="00515027">
        <w:t>holds more moderate policy,</w:t>
      </w:r>
      <w:r w:rsidR="00012674">
        <w:t xml:space="preserve"> making it easier to modify the extreme bill’s objectionable provisions. Second, </w:t>
      </w:r>
      <w:r w:rsidR="00E8076A">
        <w:t xml:space="preserve">by standing </w:t>
      </w:r>
      <w:r w:rsidR="00543B5E">
        <w:t>steadfast</w:t>
      </w:r>
      <w:r w:rsidR="00012674">
        <w:t xml:space="preserve"> in support of its initial proposal</w:t>
      </w:r>
      <w:r w:rsidR="00E8076A">
        <w:t xml:space="preserve">, the first chamber </w:t>
      </w:r>
      <w:r w:rsidR="00012674">
        <w:t xml:space="preserve">preserves </w:t>
      </w:r>
      <w:r w:rsidR="00543B5E">
        <w:t xml:space="preserve">the </w:t>
      </w:r>
      <w:r w:rsidR="00012674">
        <w:t>credibility</w:t>
      </w:r>
      <w:r w:rsidR="00543B5E">
        <w:t xml:space="preserve"> of future initiatives</w:t>
      </w:r>
      <w:r w:rsidR="00012674">
        <w:t>. (Allowing reputational considerations to underwrite veto threat bargaining not only gives presidents the ability to send credible signals, it contributes here to the sequence with which policy differences are resolved.) Finally, the first chamber retains a veto over the final, conference report.</w:t>
      </w:r>
      <w:r w:rsidR="00E8076A">
        <w:t xml:space="preserve">  To capture this sequence, prediction </w:t>
      </w:r>
      <w:r w:rsidR="000269F5">
        <w:rPr>
          <w:i/>
        </w:rPr>
        <w:t>2B</w:t>
      </w:r>
      <w:r w:rsidR="00E8076A">
        <w:t xml:space="preserve"> has the second chamber modify threatened legislation. We refer to this three-stage sequence as a </w:t>
      </w:r>
      <w:r w:rsidR="00C26697">
        <w:rPr>
          <w:i/>
        </w:rPr>
        <w:t>B</w:t>
      </w:r>
      <w:r w:rsidR="00E8076A" w:rsidRPr="000924DF">
        <w:rPr>
          <w:i/>
        </w:rPr>
        <w:t xml:space="preserve">icameral </w:t>
      </w:r>
      <w:r w:rsidR="00C26697">
        <w:rPr>
          <w:i/>
        </w:rPr>
        <w:t>H</w:t>
      </w:r>
      <w:r w:rsidR="00E8076A" w:rsidRPr="000924DF">
        <w:rPr>
          <w:i/>
        </w:rPr>
        <w:t>aggle.</w:t>
      </w:r>
    </w:p>
    <w:p w:rsidR="004F4323" w:rsidRDefault="00AC095F" w:rsidP="004F4323">
      <w:pPr>
        <w:jc w:val="center"/>
      </w:pPr>
      <w:r>
        <w:t>[Figure 2 here]</w:t>
      </w:r>
    </w:p>
    <w:p w:rsidR="00DD32FF" w:rsidRDefault="00E8076A" w:rsidP="00E8076A">
      <w:r>
        <w:t xml:space="preserve">We have already identified those features </w:t>
      </w:r>
      <w:r w:rsidR="00DD32FF">
        <w:t>of the</w:t>
      </w:r>
      <w:r>
        <w:t xml:space="preserve"> House of Representatives (aka “legislative leviathan”) that suit it well to propose extreme bills. Its majority exerts stronger control of the chamber’s decisions – allowing it to pass policies closer to those preferred by the majority caucus’s median member and more distant from the opposition-controlled White House. </w:t>
      </w:r>
      <w:r w:rsidR="00DD32FF">
        <w:t xml:space="preserve">According to these textbook features we should expect to find </w:t>
      </w:r>
      <w:r w:rsidR="002574DB">
        <w:t xml:space="preserve">the House initiating a disproportionate share of “extreme” bills and consequently, </w:t>
      </w:r>
      <w:r w:rsidR="00DD32FF">
        <w:t xml:space="preserve">presidents </w:t>
      </w:r>
      <w:r w:rsidR="002574DB">
        <w:t xml:space="preserve">disproportionately </w:t>
      </w:r>
      <w:r w:rsidR="00DD32FF">
        <w:t xml:space="preserve">targeting House proposals </w:t>
      </w:r>
      <w:r w:rsidR="002574DB">
        <w:t xml:space="preserve">with veto threats </w:t>
      </w:r>
      <w:r w:rsidR="00DD32FF">
        <w:t>(</w:t>
      </w:r>
      <w:r w:rsidR="000269F5">
        <w:rPr>
          <w:i/>
        </w:rPr>
        <w:t>2C</w:t>
      </w:r>
      <w:r w:rsidR="00DD32FF">
        <w:t xml:space="preserve">). </w:t>
      </w:r>
    </w:p>
    <w:p w:rsidR="00E8076A" w:rsidRDefault="00E8076A" w:rsidP="00E8076A">
      <w:r>
        <w:t xml:space="preserve">The House’s enthusiasm for an extreme policy is complemented by the Senate’s </w:t>
      </w:r>
      <w:r w:rsidR="002574DB">
        <w:t xml:space="preserve">moderation giving it a </w:t>
      </w:r>
      <w:r>
        <w:t>comparative advantage in fashioni</w:t>
      </w:r>
      <w:r w:rsidR="00DD32FF">
        <w:t xml:space="preserve">ng compromises. </w:t>
      </w:r>
      <w:r>
        <w:t xml:space="preserve">One </w:t>
      </w:r>
      <w:r w:rsidR="008517CC">
        <w:t>needs</w:t>
      </w:r>
      <w:r>
        <w:t xml:space="preserve"> </w:t>
      </w:r>
      <w:r w:rsidR="008517CC">
        <w:t xml:space="preserve">to </w:t>
      </w:r>
      <w:r>
        <w:t xml:space="preserve">look </w:t>
      </w:r>
      <w:r w:rsidR="002574DB">
        <w:t xml:space="preserve">no </w:t>
      </w:r>
      <w:r>
        <w:t xml:space="preserve">further than the filibuster to appreciate the influence available to the president’s minority-party allies, as long as they can muster 41 votes. Accordingly, </w:t>
      </w:r>
      <w:r w:rsidR="00471B26">
        <w:t xml:space="preserve">in </w:t>
      </w:r>
      <w:r w:rsidR="000269F5">
        <w:rPr>
          <w:i/>
        </w:rPr>
        <w:t>2D</w:t>
      </w:r>
      <w:r w:rsidR="00471B26">
        <w:rPr>
          <w:i/>
        </w:rPr>
        <w:t xml:space="preserve"> </w:t>
      </w:r>
      <w:r>
        <w:t xml:space="preserve">the </w:t>
      </w:r>
      <w:r w:rsidR="00471B26">
        <w:t>House</w:t>
      </w:r>
      <w:r>
        <w:t xml:space="preserve"> will take the lead in </w:t>
      </w:r>
      <w:r w:rsidR="00DD32FF">
        <w:t>proposing extreme policy and threatened with a</w:t>
      </w:r>
      <w:r>
        <w:t xml:space="preserve"> veto</w:t>
      </w:r>
      <w:r w:rsidR="00DD32FF">
        <w:t>, the Senate the lead in moderating the legislation</w:t>
      </w:r>
      <w:r>
        <w:t xml:space="preserve">.  We consider other haggling sequences below, but none enjoys the same compelling logic as this </w:t>
      </w:r>
      <w:r w:rsidRPr="00FE6850">
        <w:rPr>
          <w:i/>
        </w:rPr>
        <w:t>House-initiated</w:t>
      </w:r>
      <w:r>
        <w:t xml:space="preserve"> </w:t>
      </w:r>
      <w:r w:rsidR="00C26697">
        <w:rPr>
          <w:i/>
        </w:rPr>
        <w:t>B</w:t>
      </w:r>
      <w:r w:rsidRPr="00FE6850">
        <w:rPr>
          <w:i/>
        </w:rPr>
        <w:t xml:space="preserve">icameral </w:t>
      </w:r>
      <w:r w:rsidR="00C26697">
        <w:rPr>
          <w:i/>
        </w:rPr>
        <w:t>H</w:t>
      </w:r>
      <w:r w:rsidRPr="00FE6850">
        <w:rPr>
          <w:i/>
        </w:rPr>
        <w:t>aggle</w:t>
      </w:r>
      <w:r>
        <w:t>.</w:t>
      </w:r>
      <w:r>
        <w:rPr>
          <w:rStyle w:val="FootnoteReference"/>
        </w:rPr>
        <w:footnoteReference w:id="10"/>
      </w:r>
      <w:r>
        <w:t xml:space="preserve">  </w:t>
      </w:r>
    </w:p>
    <w:p w:rsidR="00000C32" w:rsidRDefault="002574DB" w:rsidP="006F0B46">
      <w:r>
        <w:t xml:space="preserve">The first chamber could, and occasionally does, modify objectionable provisions before passing and sending the bill to the second chamber. In the figure, we label this as a </w:t>
      </w:r>
      <w:r w:rsidR="00C26697">
        <w:rPr>
          <w:i/>
        </w:rPr>
        <w:t>S</w:t>
      </w:r>
      <w:r w:rsidRPr="006C45AE">
        <w:rPr>
          <w:i/>
        </w:rPr>
        <w:t xml:space="preserve">ame </w:t>
      </w:r>
      <w:r w:rsidR="00C26697">
        <w:rPr>
          <w:i/>
        </w:rPr>
        <w:t>C</w:t>
      </w:r>
      <w:r w:rsidRPr="006C45AE">
        <w:rPr>
          <w:i/>
        </w:rPr>
        <w:t xml:space="preserve">hamber </w:t>
      </w:r>
      <w:r w:rsidR="00C26697">
        <w:rPr>
          <w:i/>
        </w:rPr>
        <w:t>H</w:t>
      </w:r>
      <w:r w:rsidRPr="006C45AE">
        <w:rPr>
          <w:i/>
        </w:rPr>
        <w:t>aggle</w:t>
      </w:r>
      <w:r>
        <w:t xml:space="preserve"> with the president.</w:t>
      </w:r>
      <w:r w:rsidRPr="002574DB">
        <w:rPr>
          <w:rStyle w:val="FootnoteReference"/>
        </w:rPr>
        <w:t xml:space="preserve"> </w:t>
      </w:r>
      <w:r w:rsidR="006F0B46">
        <w:t xml:space="preserve">Although </w:t>
      </w:r>
      <w:r w:rsidR="002D5EC3">
        <w:t xml:space="preserve">the second chamber’s </w:t>
      </w:r>
      <w:r>
        <w:t xml:space="preserve">moderating </w:t>
      </w:r>
      <w:r w:rsidR="00D662C8">
        <w:t>role might</w:t>
      </w:r>
      <w:r w:rsidR="006F0B46">
        <w:t xml:space="preserve"> appear </w:t>
      </w:r>
      <w:r w:rsidR="002D5EC3">
        <w:t>obvious</w:t>
      </w:r>
      <w:r w:rsidR="009A6D39">
        <w:t>,</w:t>
      </w:r>
      <w:r>
        <w:t xml:space="preserve"> and</w:t>
      </w:r>
      <w:r w:rsidR="002D5EC3">
        <w:t xml:space="preserve"> even necessary, it is not</w:t>
      </w:r>
      <w:r w:rsidR="006F0B46">
        <w:t xml:space="preserve">. </w:t>
      </w:r>
      <w:r w:rsidR="009A6D39">
        <w:t>These l</w:t>
      </w:r>
      <w:r w:rsidR="006F0B46">
        <w:t xml:space="preserve">egislators </w:t>
      </w:r>
      <w:r w:rsidR="009A6D39">
        <w:t>might</w:t>
      </w:r>
      <w:r w:rsidR="00D662C8">
        <w:t xml:space="preserve"> defer </w:t>
      </w:r>
      <w:r w:rsidR="007E44D8">
        <w:t>consideration of</w:t>
      </w:r>
      <w:r w:rsidR="00D662C8">
        <w:t xml:space="preserve"> a veto threat</w:t>
      </w:r>
      <w:r w:rsidR="006F0B46">
        <w:t xml:space="preserve"> until conference</w:t>
      </w:r>
      <w:r w:rsidR="007E44D8">
        <w:t xml:space="preserve">. This is represented as the </w:t>
      </w:r>
      <w:r w:rsidR="00C26697">
        <w:rPr>
          <w:i/>
        </w:rPr>
        <w:t>S</w:t>
      </w:r>
      <w:r w:rsidR="007E44D8" w:rsidRPr="006C45AE">
        <w:rPr>
          <w:i/>
        </w:rPr>
        <w:t>tonewall</w:t>
      </w:r>
      <w:r w:rsidR="007E44D8">
        <w:t xml:space="preserve"> path in </w:t>
      </w:r>
      <w:r w:rsidR="00F86A25">
        <w:t>Figure 2</w:t>
      </w:r>
      <w:r w:rsidR="006C45AE">
        <w:t>. It</w:t>
      </w:r>
      <w:r w:rsidR="00D662C8">
        <w:t xml:space="preserve"> would eliminate </w:t>
      </w:r>
      <w:r>
        <w:t>a critical, step-wise convergence of haggling</w:t>
      </w:r>
      <w:r w:rsidR="00D662C8">
        <w:t xml:space="preserve"> and return the legislative process to separation-of-power’s “take it or leave it” choice</w:t>
      </w:r>
      <w:r>
        <w:t>.</w:t>
      </w:r>
      <w:r w:rsidR="00647409">
        <w:rPr>
          <w:rStyle w:val="FootnoteReference"/>
        </w:rPr>
        <w:footnoteReference w:id="11"/>
      </w:r>
      <w:r w:rsidR="00554FFB">
        <w:t xml:space="preserve"> </w:t>
      </w:r>
    </w:p>
    <w:p w:rsidR="006F0B46" w:rsidRPr="00DD5136" w:rsidRDefault="000269F5" w:rsidP="006F0B46">
      <w:pPr>
        <w:pStyle w:val="referencessinglespaceinternal"/>
      </w:pPr>
      <w:r>
        <w:rPr>
          <w:i/>
        </w:rPr>
        <w:t>2A</w:t>
      </w:r>
      <w:r w:rsidR="006F0B46" w:rsidRPr="00DD5136">
        <w:rPr>
          <w:i/>
        </w:rPr>
        <w:t>:</w:t>
      </w:r>
      <w:r w:rsidR="006F0B46" w:rsidRPr="00DD5136">
        <w:t xml:space="preserve"> Veto threatened provisions are more likely to be introduced </w:t>
      </w:r>
      <w:r w:rsidR="006F0B46">
        <w:t>in the initial proposal than subsequently</w:t>
      </w:r>
      <w:r w:rsidR="006F0B46" w:rsidRPr="00DD5136">
        <w:t xml:space="preserve">. </w:t>
      </w:r>
    </w:p>
    <w:p w:rsidR="006F0B46" w:rsidRPr="00DD5136" w:rsidRDefault="006F0B46" w:rsidP="006F0B46">
      <w:pPr>
        <w:pStyle w:val="referencessinglespaceinternal"/>
      </w:pPr>
    </w:p>
    <w:p w:rsidR="006F0B46" w:rsidRDefault="006F0B46" w:rsidP="006F0B46">
      <w:pPr>
        <w:pStyle w:val="referencessinglespaceinternal"/>
      </w:pPr>
      <w:r w:rsidRPr="00DD5136">
        <w:rPr>
          <w:i/>
        </w:rPr>
        <w:t xml:space="preserve"> </w:t>
      </w:r>
      <w:r w:rsidR="000269F5">
        <w:rPr>
          <w:i/>
        </w:rPr>
        <w:t>2B</w:t>
      </w:r>
      <w:r w:rsidRPr="00DD5136">
        <w:rPr>
          <w:i/>
        </w:rPr>
        <w:t>:</w:t>
      </w:r>
      <w:r w:rsidRPr="00DD5136">
        <w:t xml:space="preserve"> </w:t>
      </w:r>
      <w:r w:rsidR="000533AC">
        <w:t>The</w:t>
      </w:r>
      <w:r>
        <w:t xml:space="preserve"> second </w:t>
      </w:r>
      <w:r w:rsidR="000533AC">
        <w:t>chamber</w:t>
      </w:r>
      <w:r>
        <w:t xml:space="preserve"> will modify the first chamber’s threatened </w:t>
      </w:r>
      <w:r w:rsidR="000533AC">
        <w:t>provisions,</w:t>
      </w:r>
      <w:r>
        <w:t xml:space="preserve"> producing a </w:t>
      </w:r>
      <w:r w:rsidR="00C26697">
        <w:rPr>
          <w:i/>
        </w:rPr>
        <w:t>B</w:t>
      </w:r>
      <w:r w:rsidRPr="00F10839">
        <w:rPr>
          <w:i/>
        </w:rPr>
        <w:t xml:space="preserve">icameral </w:t>
      </w:r>
      <w:r w:rsidR="00C26697">
        <w:rPr>
          <w:i/>
        </w:rPr>
        <w:t>H</w:t>
      </w:r>
      <w:r w:rsidRPr="00F10839">
        <w:rPr>
          <w:i/>
        </w:rPr>
        <w:t>aggle</w:t>
      </w:r>
      <w:r>
        <w:t xml:space="preserve">.  </w:t>
      </w:r>
    </w:p>
    <w:p w:rsidR="006F0B46" w:rsidRDefault="006F0B46" w:rsidP="006F0B46">
      <w:pPr>
        <w:pStyle w:val="referencessinglespaceinternal"/>
      </w:pPr>
    </w:p>
    <w:p w:rsidR="006F0B46" w:rsidRDefault="000269F5" w:rsidP="006F0B46">
      <w:pPr>
        <w:pStyle w:val="referencessinglespaceinternal"/>
      </w:pPr>
      <w:r>
        <w:rPr>
          <w:i/>
        </w:rPr>
        <w:t>2C</w:t>
      </w:r>
      <w:r w:rsidR="006F0B46" w:rsidRPr="00DD5136">
        <w:rPr>
          <w:i/>
        </w:rPr>
        <w:t>:</w:t>
      </w:r>
      <w:r w:rsidR="006F0B46" w:rsidRPr="00DD5136">
        <w:t xml:space="preserve"> </w:t>
      </w:r>
      <w:r w:rsidR="000533AC">
        <w:t>The</w:t>
      </w:r>
      <w:r w:rsidR="000533AC" w:rsidRPr="00DD5136">
        <w:t xml:space="preserve"> </w:t>
      </w:r>
      <w:r w:rsidR="000533AC">
        <w:t>House of Representatives’ proposals are</w:t>
      </w:r>
      <w:r w:rsidR="009A6D39">
        <w:t xml:space="preserve"> more likely to attract a veto threat than the Senate</w:t>
      </w:r>
      <w:r w:rsidR="000533AC">
        <w:t>’s</w:t>
      </w:r>
      <w:r w:rsidR="009A6D39">
        <w:t xml:space="preserve">. </w:t>
      </w:r>
      <w:r w:rsidR="006F0B46" w:rsidRPr="00DD5136">
        <w:t xml:space="preserve"> </w:t>
      </w:r>
    </w:p>
    <w:p w:rsidR="00DD32FF" w:rsidRDefault="00DD32FF" w:rsidP="006F0B46">
      <w:pPr>
        <w:pStyle w:val="referencessinglespaceinternal"/>
      </w:pPr>
    </w:p>
    <w:p w:rsidR="00DD32FF" w:rsidRPr="008548C1" w:rsidRDefault="000269F5" w:rsidP="00DD32FF">
      <w:pPr>
        <w:pStyle w:val="referencessinglespaceinternal"/>
      </w:pPr>
      <w:r>
        <w:rPr>
          <w:i/>
        </w:rPr>
        <w:t>2D</w:t>
      </w:r>
      <w:r w:rsidR="00DD32FF">
        <w:rPr>
          <w:i/>
        </w:rPr>
        <w:t>:</w:t>
      </w:r>
      <w:r w:rsidR="00DD32FF">
        <w:t xml:space="preserve"> </w:t>
      </w:r>
      <w:r w:rsidR="000533AC">
        <w:t>Given the institutional differences between the</w:t>
      </w:r>
      <w:r w:rsidR="00DD32FF">
        <w:t xml:space="preserve"> House and Senate</w:t>
      </w:r>
      <w:r w:rsidR="000533AC">
        <w:t>,</w:t>
      </w:r>
      <w:r w:rsidR="00DD32FF">
        <w:t xml:space="preserve"> veto threat</w:t>
      </w:r>
      <w:r w:rsidR="000533AC">
        <w:t>ened provisions</w:t>
      </w:r>
      <w:r w:rsidR="00DD32FF">
        <w:t xml:space="preserve"> will </w:t>
      </w:r>
      <w:r w:rsidR="000533AC">
        <w:t>follow</w:t>
      </w:r>
      <w:r w:rsidR="00DD32FF">
        <w:t xml:space="preserve"> a </w:t>
      </w:r>
      <w:r w:rsidR="00DD32FF" w:rsidRPr="00FE6850">
        <w:rPr>
          <w:i/>
        </w:rPr>
        <w:t>House-initiated</w:t>
      </w:r>
      <w:r w:rsidR="00DD32FF">
        <w:t xml:space="preserve"> </w:t>
      </w:r>
      <w:r w:rsidR="00C26697">
        <w:rPr>
          <w:i/>
        </w:rPr>
        <w:t>B</w:t>
      </w:r>
      <w:r w:rsidR="00DD32FF" w:rsidRPr="00FE6850">
        <w:rPr>
          <w:i/>
        </w:rPr>
        <w:t xml:space="preserve">icameral </w:t>
      </w:r>
      <w:r w:rsidR="00C26697">
        <w:rPr>
          <w:i/>
        </w:rPr>
        <w:t>H</w:t>
      </w:r>
      <w:r w:rsidR="00DD32FF" w:rsidRPr="00FE6850">
        <w:rPr>
          <w:i/>
        </w:rPr>
        <w:t>aggle</w:t>
      </w:r>
      <w:r w:rsidR="00DD32FF">
        <w:t>.</w:t>
      </w:r>
    </w:p>
    <w:p w:rsidR="00DD32FF" w:rsidRDefault="00DD32FF" w:rsidP="006F0B46">
      <w:pPr>
        <w:pStyle w:val="referencessinglespaceinternal"/>
      </w:pPr>
    </w:p>
    <w:p w:rsidR="00C90BFB" w:rsidRDefault="00C90BFB" w:rsidP="00C90BFB">
      <w:pPr>
        <w:pStyle w:val="Heading3"/>
        <w:framePr w:wrap="auto" w:vAnchor="margin" w:yAlign="inline"/>
        <w:rPr>
          <w:i/>
        </w:rPr>
      </w:pPr>
      <w:r w:rsidRPr="00C80A9B">
        <w:t>Conference</w:t>
      </w:r>
      <w:r w:rsidR="00887B6C">
        <w:t xml:space="preserve"> Committee</w:t>
      </w:r>
    </w:p>
    <w:p w:rsidR="00FC3B10" w:rsidRDefault="00C90BFB" w:rsidP="00FC3B10">
      <w:r>
        <w:t xml:space="preserve">Conference represents a critical </w:t>
      </w:r>
      <w:r w:rsidR="003E5911">
        <w:t>juncture</w:t>
      </w:r>
      <w:r>
        <w:t xml:space="preserve"> </w:t>
      </w:r>
      <w:r w:rsidR="00FC3B10">
        <w:t>in</w:t>
      </w:r>
      <w:r w:rsidR="00D64D41">
        <w:t xml:space="preserve"> </w:t>
      </w:r>
      <w:r w:rsidR="003E5911">
        <w:t>discovering policy</w:t>
      </w:r>
      <w:r w:rsidR="00B42086">
        <w:t xml:space="preserve"> that</w:t>
      </w:r>
      <w:r>
        <w:t xml:space="preserve"> each </w:t>
      </w:r>
      <w:r w:rsidR="003E5911">
        <w:t>chamber’s pivotal member and the president</w:t>
      </w:r>
      <w:r w:rsidR="005F057B">
        <w:t xml:space="preserve"> </w:t>
      </w:r>
      <w:r>
        <w:t>prefer</w:t>
      </w:r>
      <w:r w:rsidR="008D38F6">
        <w:t xml:space="preserve"> to the status quo</w:t>
      </w:r>
      <w:r>
        <w:t>.</w:t>
      </w:r>
      <w:r w:rsidR="00943669">
        <w:rPr>
          <w:rStyle w:val="FootnoteReference"/>
        </w:rPr>
        <w:footnoteReference w:id="12"/>
      </w:r>
      <w:r>
        <w:t xml:space="preserve"> </w:t>
      </w:r>
      <w:r w:rsidR="00943669">
        <w:t xml:space="preserve"> </w:t>
      </w:r>
      <w:r w:rsidR="000F4081">
        <w:t>Confere</w:t>
      </w:r>
      <w:r w:rsidR="00782916">
        <w:t>es</w:t>
      </w:r>
      <w:r w:rsidR="000F4081">
        <w:t xml:space="preserve"> must find a bill that </w:t>
      </w:r>
      <w:r w:rsidR="000B4AB8">
        <w:t>a</w:t>
      </w:r>
      <w:r w:rsidR="00FC3B10">
        <w:t xml:space="preserve"> majority </w:t>
      </w:r>
      <w:r w:rsidR="00782916">
        <w:t>in</w:t>
      </w:r>
      <w:r w:rsidR="000B4AB8">
        <w:t xml:space="preserve"> </w:t>
      </w:r>
      <w:r w:rsidR="00782916">
        <w:t xml:space="preserve">each chamber </w:t>
      </w:r>
      <w:r w:rsidR="000F4081">
        <w:t>will</w:t>
      </w:r>
      <w:r w:rsidR="00FC3B10">
        <w:t xml:space="preserve"> agree</w:t>
      </w:r>
      <w:r w:rsidR="008D38F6">
        <w:t xml:space="preserve"> to</w:t>
      </w:r>
      <w:r w:rsidR="00782916">
        <w:t>,</w:t>
      </w:r>
      <w:r w:rsidR="008D38F6">
        <w:t xml:space="preserve"> </w:t>
      </w:r>
      <w:r w:rsidR="000F4081">
        <w:t>as well as one that the president will likely sign</w:t>
      </w:r>
      <w:r w:rsidR="00FC3B10">
        <w:t xml:space="preserve">. </w:t>
      </w:r>
      <w:r w:rsidR="000F4081">
        <w:t xml:space="preserve">To minimize miscalculation, </w:t>
      </w:r>
      <w:r w:rsidR="00795B8D">
        <w:t>c</w:t>
      </w:r>
      <w:r w:rsidR="00FC3B10">
        <w:t xml:space="preserve">onferees </w:t>
      </w:r>
      <w:r w:rsidR="008D38F6">
        <w:t xml:space="preserve">routinely </w:t>
      </w:r>
      <w:r w:rsidR="004E7104">
        <w:t xml:space="preserve">solicit the views of </w:t>
      </w:r>
      <w:r w:rsidR="00FC3B10">
        <w:t>the president’s representatives</w:t>
      </w:r>
      <w:r w:rsidR="000F4081">
        <w:t>, even</w:t>
      </w:r>
      <w:r w:rsidR="004E7104">
        <w:t xml:space="preserve"> inviting them into </w:t>
      </w:r>
      <w:r w:rsidR="00257188">
        <w:t>deliberations</w:t>
      </w:r>
      <w:r w:rsidR="000F4081">
        <w:t xml:space="preserve"> </w:t>
      </w:r>
      <w:r w:rsidR="004C647B">
        <w:t xml:space="preserve">(Longley and </w:t>
      </w:r>
      <w:proofErr w:type="spellStart"/>
      <w:r w:rsidR="004C647B">
        <w:t>Oleszek</w:t>
      </w:r>
      <w:proofErr w:type="spellEnd"/>
      <w:r w:rsidR="004C647B">
        <w:t xml:space="preserve"> 1988)</w:t>
      </w:r>
      <w:r w:rsidR="00FC3B10">
        <w:t>.</w:t>
      </w:r>
      <w:r w:rsidR="007F246D">
        <w:t xml:space="preserve"> </w:t>
      </w:r>
      <w:r w:rsidR="000F4081">
        <w:t xml:space="preserve">As </w:t>
      </w:r>
      <w:r w:rsidR="000A66DC">
        <w:t xml:space="preserve">conference </w:t>
      </w:r>
      <w:r w:rsidR="000F4081">
        <w:t>searches for mutually acceptable policy</w:t>
      </w:r>
      <w:r w:rsidR="000A66DC">
        <w:t>,</w:t>
      </w:r>
      <w:r w:rsidR="000F4081">
        <w:t xml:space="preserve"> </w:t>
      </w:r>
      <w:r w:rsidR="000269F5">
        <w:rPr>
          <w:i/>
        </w:rPr>
        <w:t>3A</w:t>
      </w:r>
      <w:r w:rsidR="000B4AB8">
        <w:t xml:space="preserve"> </w:t>
      </w:r>
      <w:r w:rsidR="000F4081">
        <w:t>predicts that</w:t>
      </w:r>
      <w:r w:rsidR="000B4AB8">
        <w:t xml:space="preserve"> </w:t>
      </w:r>
      <w:r w:rsidR="000A66DC">
        <w:t>it</w:t>
      </w:r>
      <w:r w:rsidR="000B4AB8">
        <w:t xml:space="preserve"> </w:t>
      </w:r>
      <w:r w:rsidR="000F4081">
        <w:t xml:space="preserve">will </w:t>
      </w:r>
      <w:r w:rsidR="001E547B">
        <w:t xml:space="preserve">favor available </w:t>
      </w:r>
      <w:r w:rsidR="000B4AB8">
        <w:t>moderat</w:t>
      </w:r>
      <w:r w:rsidR="001E547B">
        <w:t xml:space="preserve">ion of veto threatened provisions. </w:t>
      </w:r>
      <w:r w:rsidR="000F4081">
        <w:t xml:space="preserve">This might involve </w:t>
      </w:r>
      <w:r w:rsidR="000A66DC">
        <w:t>confere</w:t>
      </w:r>
      <w:r w:rsidR="001E547B">
        <w:t>es simply</w:t>
      </w:r>
      <w:r w:rsidR="000A66DC">
        <w:t xml:space="preserve"> </w:t>
      </w:r>
      <w:r w:rsidR="000F4081">
        <w:t xml:space="preserve">ratifying </w:t>
      </w:r>
      <w:r w:rsidR="000A66DC">
        <w:t>compromises</w:t>
      </w:r>
      <w:r w:rsidR="000F4081">
        <w:t xml:space="preserve"> the House and Senate have already </w:t>
      </w:r>
      <w:r w:rsidR="001E547B">
        <w:t xml:space="preserve">struck (same chamber </w:t>
      </w:r>
      <w:r w:rsidR="00686125">
        <w:t xml:space="preserve">and bicameral </w:t>
      </w:r>
      <w:r w:rsidR="001E547B">
        <w:t>haggle</w:t>
      </w:r>
      <w:r w:rsidR="00686125">
        <w:t>s</w:t>
      </w:r>
      <w:r w:rsidR="001E547B">
        <w:t>)</w:t>
      </w:r>
      <w:r w:rsidR="000F4081">
        <w:t>, resolving disagreements between the chambers</w:t>
      </w:r>
      <w:r w:rsidR="00686125">
        <w:t xml:space="preserve"> (same chamber reversals)</w:t>
      </w:r>
      <w:r w:rsidR="000F4081">
        <w:t xml:space="preserve"> or even </w:t>
      </w:r>
      <w:r w:rsidR="000A66DC">
        <w:t xml:space="preserve">perhaps </w:t>
      </w:r>
      <w:r w:rsidR="000F4081">
        <w:t xml:space="preserve">moderating provisions </w:t>
      </w:r>
      <w:r w:rsidR="00686125">
        <w:t>the</w:t>
      </w:r>
      <w:r w:rsidR="000F4081">
        <w:t xml:space="preserve"> chambers </w:t>
      </w:r>
      <w:r w:rsidR="00686125">
        <w:t xml:space="preserve">had previously </w:t>
      </w:r>
      <w:r w:rsidR="000F4081">
        <w:t>stonewalled</w:t>
      </w:r>
      <w:r w:rsidR="000B4AB8">
        <w:t>.</w:t>
      </w:r>
    </w:p>
    <w:p w:rsidR="00E4455F" w:rsidRPr="005B5C2B" w:rsidRDefault="000269F5" w:rsidP="0045301F">
      <w:r>
        <w:rPr>
          <w:i/>
        </w:rPr>
        <w:t>3A</w:t>
      </w:r>
      <w:r w:rsidR="0045301F">
        <w:rPr>
          <w:i/>
        </w:rPr>
        <w:t xml:space="preserve">: </w:t>
      </w:r>
      <w:r w:rsidR="0045301F">
        <w:t xml:space="preserve">Conference will be more likely to modify (and preserve previous modifications to) veto threatened than unthreatened provisions. </w:t>
      </w:r>
      <w:r w:rsidR="00E4455F">
        <w:t xml:space="preserve"> </w:t>
      </w:r>
    </w:p>
    <w:p w:rsidR="00C90BFB" w:rsidRPr="00FE1CE5" w:rsidRDefault="00C90BFB" w:rsidP="00C90BFB">
      <w:pPr>
        <w:pStyle w:val="Heading2"/>
      </w:pPr>
      <w:r w:rsidRPr="00FB1D4E">
        <w:t>I</w:t>
      </w:r>
      <w:r>
        <w:t>V</w:t>
      </w:r>
      <w:r w:rsidRPr="00FB1D4E">
        <w:t xml:space="preserve">. </w:t>
      </w:r>
      <w:r w:rsidRPr="00534F7A">
        <w:t>Data</w:t>
      </w:r>
      <w:r>
        <w:t xml:space="preserve"> and Method</w:t>
      </w:r>
    </w:p>
    <w:p w:rsidR="00C90BFB" w:rsidRDefault="00C90BFB" w:rsidP="00C90BFB">
      <w:r>
        <w:t xml:space="preserve">Both former White House aides and internal memoranda archived at presidential libraries tell a story of </w:t>
      </w:r>
      <w:r w:rsidR="001C08CA">
        <w:t>administration representatives</w:t>
      </w:r>
      <w:r>
        <w:t xml:space="preserve"> continuously communicating the president’s views on legislation pending before Congress. White House legislative affairs teams spend much of the workday on the Hill privately plying individual legislators.  These and numerous other private efforts are certainly less costly, and less credible, than public veto threats. The latter class includes a variety of activities spanning a broad spectrum of </w:t>
      </w:r>
      <w:proofErr w:type="spellStart"/>
      <w:r>
        <w:t>publicness</w:t>
      </w:r>
      <w:proofErr w:type="spellEnd"/>
      <w:r>
        <w:t xml:space="preserve"> from the president’s nationally televised annual state of the union address to congressional testimony during which an administration official avers the prospect of</w:t>
      </w:r>
      <w:r w:rsidR="00BC0403">
        <w:t xml:space="preserve"> a proposed provision triggering a</w:t>
      </w:r>
      <w:r>
        <w:t xml:space="preserve"> veto threat</w:t>
      </w:r>
      <w:r w:rsidR="00BC0403">
        <w:t>.</w:t>
      </w:r>
      <w:r>
        <w:t xml:space="preserve"> </w:t>
      </w:r>
      <w:r w:rsidR="00BC0403">
        <w:t>Figure 1 shows that the volume of veto threats</w:t>
      </w:r>
      <w:r>
        <w:t xml:space="preserve"> </w:t>
      </w:r>
      <w:r w:rsidR="00BC0403">
        <w:t xml:space="preserve">contained in president’s </w:t>
      </w:r>
      <w:r>
        <w:t>Statements of Administration Policy, or SAP, have be</w:t>
      </w:r>
      <w:r w:rsidR="00BC0403">
        <w:t>come</w:t>
      </w:r>
      <w:r>
        <w:t xml:space="preserve"> a favorite medium for presidents </w:t>
      </w:r>
      <w:r w:rsidR="00BC0403">
        <w:t>to threat</w:t>
      </w:r>
      <w:r w:rsidR="00686125">
        <w:t xml:space="preserve">en bills pouring out of </w:t>
      </w:r>
      <w:r>
        <w:t>opposition</w:t>
      </w:r>
      <w:r w:rsidR="00BC0403">
        <w:t>-controlled</w:t>
      </w:r>
      <w:r>
        <w:t xml:space="preserve"> Congresses.</w:t>
      </w:r>
    </w:p>
    <w:p w:rsidR="00C90BFB" w:rsidRDefault="00C90BFB" w:rsidP="00C90BFB">
      <w:pPr>
        <w:pStyle w:val="Heading3"/>
        <w:framePr w:wrap="auto" w:vAnchor="margin" w:yAlign="inline"/>
      </w:pPr>
      <w:r>
        <w:t xml:space="preserve">Treatment Variable: Veto Threats in </w:t>
      </w:r>
      <w:r w:rsidRPr="007B13D1">
        <w:t>Statements</w:t>
      </w:r>
      <w:r>
        <w:t xml:space="preserve"> of Administration Policy (</w:t>
      </w:r>
      <w:proofErr w:type="spellStart"/>
      <w:r>
        <w:t>SAPs</w:t>
      </w:r>
      <w:proofErr w:type="spellEnd"/>
      <w:r>
        <w:t>)</w:t>
      </w:r>
    </w:p>
    <w:p w:rsidR="0038041F" w:rsidRDefault="00C90BFB" w:rsidP="00CC3879">
      <w:r>
        <w:t xml:space="preserve">Introduced in 1985 at the initiative of OMB Director David Stockman, </w:t>
      </w:r>
      <w:proofErr w:type="spellStart"/>
      <w:r>
        <w:t>SAPs</w:t>
      </w:r>
      <w:proofErr w:type="spellEnd"/>
      <w:r>
        <w:t xml:space="preserve"> formalize under an OMB letterhead the memo</w:t>
      </w:r>
      <w:r w:rsidR="00CC3879">
        <w:t>randa</w:t>
      </w:r>
      <w:r>
        <w:t xml:space="preserve"> White Houses had </w:t>
      </w:r>
      <w:r w:rsidR="00CC3879">
        <w:t xml:space="preserve">in the past </w:t>
      </w:r>
      <w:r>
        <w:t xml:space="preserve">informally sent Congress </w:t>
      </w:r>
      <w:r w:rsidR="00CC3879">
        <w:t xml:space="preserve">stating the president’s position </w:t>
      </w:r>
      <w:r>
        <w:t xml:space="preserve">on pending legislation. </w:t>
      </w:r>
      <w:r w:rsidR="0038041F">
        <w:t xml:space="preserve">With few exceptions </w:t>
      </w:r>
      <w:proofErr w:type="spellStart"/>
      <w:r w:rsidR="0038041F">
        <w:t>SAPs</w:t>
      </w:r>
      <w:proofErr w:type="spellEnd"/>
      <w:r w:rsidR="0038041F">
        <w:t xml:space="preserve"> provide legislators with detailed information about presidents’ objections to current proposals.  Frequently, presidents go beyond simply calling for removal of objectionable provisions by offering alternative policy that would win their endorsement.  A valuable feature is these memos both for legislators and </w:t>
      </w:r>
      <w:proofErr w:type="gramStart"/>
      <w:r w:rsidR="0038041F">
        <w:t>scholars,</w:t>
      </w:r>
      <w:proofErr w:type="gramEnd"/>
      <w:r w:rsidR="0038041F">
        <w:t xml:space="preserve"> </w:t>
      </w:r>
      <w:proofErr w:type="spellStart"/>
      <w:r w:rsidR="0038041F">
        <w:t>SAPs</w:t>
      </w:r>
      <w:proofErr w:type="spellEnd"/>
      <w:r w:rsidR="0038041F">
        <w:t xml:space="preserve"> distinguish several levels of commitment to the president’s opposition to a pending bill.  Only about twelve percent of the veto threats in </w:t>
      </w:r>
      <w:proofErr w:type="spellStart"/>
      <w:r w:rsidR="0038041F">
        <w:t>SAPs</w:t>
      </w:r>
      <w:proofErr w:type="spellEnd"/>
      <w:r w:rsidR="0038041F">
        <w:t xml:space="preserve"> declare presidents’ unequivocal commitment to veto a bill that fails to address their objections.  These take a form of the first person declaration: “I will veto …” and “The president will [or ‘will have to’ or ‘would have to’] veto the </w:t>
      </w:r>
      <w:proofErr w:type="gramStart"/>
      <w:r w:rsidR="0038041F">
        <w:t>bill ….</w:t>
      </w:r>
      <w:proofErr w:type="gramEnd"/>
      <w:r w:rsidR="0038041F">
        <w:t>”</w:t>
      </w:r>
      <w:r w:rsidR="0038041F">
        <w:rPr>
          <w:rStyle w:val="FootnoteReference"/>
        </w:rPr>
        <w:footnoteReference w:id="13"/>
      </w:r>
      <w:r w:rsidR="0038041F">
        <w:t xml:space="preserve">  The vast majority of threats afford presidents wiggle room (Schelling 1980) by being less emphatic or attributing to others the likelihood of veto. In these cases, the SAP refers to “senior advisors” or some cabinet official will “recommend that the president </w:t>
      </w:r>
      <w:proofErr w:type="gramStart"/>
      <w:r w:rsidR="0038041F">
        <w:t>veto….”</w:t>
      </w:r>
      <w:proofErr w:type="gramEnd"/>
      <w:r w:rsidR="0038041F">
        <w:t xml:space="preserve">  The fact that for the past three decades administrations have, under the guidance of OMB, employed nearly identical threat language reduces the risk that legislators will parse the president’s signal incorrectly.  </w:t>
      </w:r>
    </w:p>
    <w:p w:rsidR="00CC3879" w:rsidRDefault="00CC3879" w:rsidP="00CC3879">
      <w:r>
        <w:t>Frequently, the White House issues a SAP less to reveal novel information about a president’s preferences than to strengthen the signal of his or her commitment to the veto.  The head of President Clinton’s White House legislative affairs office offered an incident in 2005 as indicative of this purpose: “We told them [Republican members of Congress] what the president needs on a bill but they’d ignore us. Then when the president issued a SAP, Republican leaders squawked that they had been blindsided. But it forced them to pay attention to the president.”</w:t>
      </w:r>
      <w:r>
        <w:rPr>
          <w:rStyle w:val="FootnoteReference"/>
        </w:rPr>
        <w:footnoteReference w:id="14"/>
      </w:r>
    </w:p>
    <w:p w:rsidR="0038041F" w:rsidRDefault="0038041F" w:rsidP="0038041F">
      <w:r>
        <w:t xml:space="preserve">Apparently from the outset OMB distributed </w:t>
      </w:r>
      <w:proofErr w:type="spellStart"/>
      <w:r>
        <w:t>SAPs</w:t>
      </w:r>
      <w:proofErr w:type="spellEnd"/>
      <w:r>
        <w:t xml:space="preserve"> widely, well beyond the floor leaders to </w:t>
      </w:r>
      <w:proofErr w:type="gramStart"/>
      <w:r>
        <w:t>whom</w:t>
      </w:r>
      <w:proofErr w:type="gramEnd"/>
      <w:r>
        <w:t xml:space="preserve"> they were addressed.</w:t>
      </w:r>
      <w:r>
        <w:rPr>
          <w:rStyle w:val="FootnoteReference"/>
        </w:rPr>
        <w:footnoteReference w:id="15"/>
      </w:r>
      <w:r>
        <w:t xml:space="preserve">  (Since 1997 OMB has posted all </w:t>
      </w:r>
      <w:proofErr w:type="spellStart"/>
      <w:r>
        <w:t>SAPs</w:t>
      </w:r>
      <w:proofErr w:type="spellEnd"/>
      <w:r>
        <w:t xml:space="preserve"> on the White House website.) When issuing </w:t>
      </w:r>
      <w:proofErr w:type="spellStart"/>
      <w:r>
        <w:t>SAPs</w:t>
      </w:r>
      <w:proofErr w:type="spellEnd"/>
      <w:r>
        <w:t>, presidents can be sure that all relevant parties in Washington and interested constituencies across the nation will soon learn the</w:t>
      </w:r>
      <w:r w:rsidR="00A60948">
        <w:t xml:space="preserve"> administration’s</w:t>
      </w:r>
      <w:r>
        <w:t xml:space="preserve"> position on a</w:t>
      </w:r>
      <w:r w:rsidR="00A60948">
        <w:t xml:space="preserve"> pending</w:t>
      </w:r>
      <w:r>
        <w:t xml:space="preserve"> bill.  In fact, until recently</w:t>
      </w:r>
      <w:r w:rsidR="00A60948">
        <w:t>,</w:t>
      </w:r>
      <w:r>
        <w:t xml:space="preserve"> </w:t>
      </w:r>
      <w:r w:rsidR="00A60948">
        <w:t xml:space="preserve">when </w:t>
      </w:r>
      <w:proofErr w:type="spellStart"/>
      <w:r w:rsidR="00A60948">
        <w:t>Kernell</w:t>
      </w:r>
      <w:proofErr w:type="spellEnd"/>
      <w:r w:rsidR="00A60948">
        <w:t xml:space="preserve"> (2005) discovered</w:t>
      </w:r>
      <w:r w:rsidR="00A60948" w:rsidRPr="0042682C">
        <w:t xml:space="preserve"> a possibly exhaustive set of </w:t>
      </w:r>
      <w:proofErr w:type="spellStart"/>
      <w:r w:rsidR="00A60948" w:rsidRPr="0042682C">
        <w:t>SAPs</w:t>
      </w:r>
      <w:proofErr w:type="spellEnd"/>
      <w:r w:rsidR="00A60948" w:rsidRPr="0042682C">
        <w:t xml:space="preserve"> </w:t>
      </w:r>
      <w:r w:rsidR="00A60948">
        <w:t xml:space="preserve">containing veto threats </w:t>
      </w:r>
      <w:r w:rsidR="00A60948" w:rsidRPr="0042682C">
        <w:t>in a private collection</w:t>
      </w:r>
      <w:r w:rsidR="00A60948">
        <w:t>,</w:t>
      </w:r>
      <w:r w:rsidR="00A60948" w:rsidRPr="0042682C">
        <w:t xml:space="preserve"> </w:t>
      </w:r>
      <w:r>
        <w:t xml:space="preserve">the only “interested” professionals unaware of these memoranda </w:t>
      </w:r>
      <w:r w:rsidR="00A60948">
        <w:t>appear to have been</w:t>
      </w:r>
      <w:r>
        <w:t xml:space="preserve"> political scientists.</w:t>
      </w:r>
      <w:r>
        <w:rPr>
          <w:rStyle w:val="FootnoteReference"/>
        </w:rPr>
        <w:footnoteReference w:id="16"/>
      </w:r>
      <w:r>
        <w:t xml:space="preserve"> Our ignorance may be attributable in part to these memoranda’s semi-official status. Unlike veto statements and other official presidential documents, </w:t>
      </w:r>
      <w:proofErr w:type="spellStart"/>
      <w:r>
        <w:t>SAPs</w:t>
      </w:r>
      <w:proofErr w:type="spellEnd"/>
      <w:r>
        <w:t xml:space="preserve"> have never been systematically logged and archived. </w:t>
      </w:r>
    </w:p>
    <w:p w:rsidR="00C90BFB" w:rsidRDefault="00FA49A6" w:rsidP="00C90BFB">
      <w:r>
        <w:t>Over</w:t>
      </w:r>
      <w:r w:rsidR="00C90BFB">
        <w:t xml:space="preserve"> the twenty-four year period </w:t>
      </w:r>
      <w:r>
        <w:t xml:space="preserve">ending in 2008, presidents issued </w:t>
      </w:r>
      <w:proofErr w:type="spellStart"/>
      <w:r>
        <w:t>SAPs</w:t>
      </w:r>
      <w:proofErr w:type="spellEnd"/>
      <w:r>
        <w:t xml:space="preserve"> threatening to veto</w:t>
      </w:r>
      <w:r w:rsidR="00C90BFB">
        <w:t xml:space="preserve"> </w:t>
      </w:r>
      <w:r w:rsidR="00C90BFB" w:rsidRPr="00566A3F">
        <w:t>62</w:t>
      </w:r>
      <w:r w:rsidR="00FE67FD">
        <w:t>7</w:t>
      </w:r>
      <w:r w:rsidR="00C90BFB" w:rsidRPr="00566A3F">
        <w:t xml:space="preserve"> </w:t>
      </w:r>
      <w:r w:rsidR="00C90BFB">
        <w:t xml:space="preserve">authorization bills. Of these, </w:t>
      </w:r>
      <w:r w:rsidR="00C90BFB" w:rsidRPr="00566A3F">
        <w:t>4</w:t>
      </w:r>
      <w:r w:rsidR="00FD5A01">
        <w:t>6</w:t>
      </w:r>
      <w:r w:rsidR="00AB3C69">
        <w:t>3</w:t>
      </w:r>
      <w:r w:rsidR="00C90BFB" w:rsidRPr="00566A3F">
        <w:t xml:space="preserve"> faltered</w:t>
      </w:r>
      <w:r w:rsidR="00C90BFB">
        <w:t xml:space="preserve"> in Congress</w:t>
      </w:r>
      <w:r w:rsidR="00471493">
        <w:t xml:space="preserve">. Although the attrition </w:t>
      </w:r>
      <w:r w:rsidR="00A632DD">
        <w:t xml:space="preserve">rate may appear high, </w:t>
      </w:r>
      <w:r w:rsidR="00433D59">
        <w:t>it</w:t>
      </w:r>
      <w:r w:rsidR="00A632DD">
        <w:t xml:space="preserve"> is</w:t>
      </w:r>
      <w:r w:rsidR="00471493">
        <w:t xml:space="preserve"> comparable to </w:t>
      </w:r>
      <w:r w:rsidR="00A632DD">
        <w:t>unt</w:t>
      </w:r>
      <w:r w:rsidR="00433D59">
        <w:t>hreatened bills reported out of</w:t>
      </w:r>
      <w:r w:rsidR="000908A1">
        <w:t xml:space="preserve"> committee</w:t>
      </w:r>
      <w:r w:rsidR="00FE27AC">
        <w:t xml:space="preserve"> calculated from the Congressional Bills Dataset (Adler and Wilkerson 2006)</w:t>
      </w:r>
      <w:r w:rsidR="00395053">
        <w:t>.</w:t>
      </w:r>
      <w:r w:rsidR="009826EE">
        <w:rPr>
          <w:rStyle w:val="FootnoteReference"/>
        </w:rPr>
        <w:footnoteReference w:id="17"/>
      </w:r>
      <w:r w:rsidR="00395053">
        <w:t xml:space="preserve"> </w:t>
      </w:r>
      <w:r w:rsidR="00C90BFB">
        <w:t xml:space="preserve">In order to </w:t>
      </w:r>
      <w:r w:rsidR="009826EE">
        <w:t xml:space="preserve">understand how veto threats help presidents shape legislation that </w:t>
      </w:r>
      <w:r w:rsidR="00CC4B72">
        <w:t xml:space="preserve">they </w:t>
      </w:r>
      <w:r w:rsidR="009826EE">
        <w:t xml:space="preserve">will eventually be required to sign or veto, we have limited the analysis to the 164 threatened </w:t>
      </w:r>
      <w:r w:rsidR="00433D59">
        <w:t xml:space="preserve">and enrolled </w:t>
      </w:r>
      <w:r w:rsidR="009826EE">
        <w:t>bills</w:t>
      </w:r>
      <w:r w:rsidR="00CC4B72">
        <w:t xml:space="preserve"> </w:t>
      </w:r>
      <w:r w:rsidR="00433D59">
        <w:t>along with</w:t>
      </w:r>
      <w:r w:rsidR="00CC4B72">
        <w:t xml:space="preserve"> their unthreatened matched counterparts</w:t>
      </w:r>
      <w:r w:rsidR="009826EE">
        <w:t xml:space="preserve">. </w:t>
      </w:r>
    </w:p>
    <w:p w:rsidR="00B258D3" w:rsidRDefault="002D6DFF" w:rsidP="00B258D3">
      <w:r>
        <w:t xml:space="preserve">All but a few of the threatening </w:t>
      </w:r>
      <w:proofErr w:type="spellStart"/>
      <w:r>
        <w:t>SAPs</w:t>
      </w:r>
      <w:proofErr w:type="spellEnd"/>
      <w:r>
        <w:t xml:space="preserve"> contain </w:t>
      </w:r>
      <w:r w:rsidR="008363E1">
        <w:t xml:space="preserve">specific objections </w:t>
      </w:r>
      <w:r>
        <w:t xml:space="preserve">to the legislation </w:t>
      </w:r>
      <w:r w:rsidR="008363E1">
        <w:t xml:space="preserve">as the basis of a possible veto.  </w:t>
      </w:r>
      <w:r w:rsidR="00132072">
        <w:t>Altogether</w:t>
      </w:r>
      <w:r w:rsidR="009F7E3C">
        <w:t>,</w:t>
      </w:r>
      <w:r w:rsidR="00132072">
        <w:t xml:space="preserve"> </w:t>
      </w:r>
      <w:r w:rsidR="00736CAB">
        <w:t xml:space="preserve">the </w:t>
      </w:r>
      <w:proofErr w:type="spellStart"/>
      <w:r w:rsidR="00132072">
        <w:t>SAPs</w:t>
      </w:r>
      <w:proofErr w:type="spellEnd"/>
      <w:r w:rsidR="00132072">
        <w:t xml:space="preserve"> </w:t>
      </w:r>
      <w:r w:rsidR="00736CAB">
        <w:t xml:space="preserve">for enrolled bills </w:t>
      </w:r>
      <w:r w:rsidR="00132072">
        <w:t>target 876</w:t>
      </w:r>
      <w:r w:rsidR="00F231EB">
        <w:t xml:space="preserve"> provisions, which we</w:t>
      </w:r>
      <w:r w:rsidR="00995F55">
        <w:t xml:space="preserve"> separately</w:t>
      </w:r>
      <w:r w:rsidR="00C90BFB">
        <w:t xml:space="preserve"> track </w:t>
      </w:r>
      <w:r w:rsidR="00F231EB">
        <w:t xml:space="preserve">through </w:t>
      </w:r>
      <w:r w:rsidR="00C90BFB">
        <w:t xml:space="preserve">the legislative </w:t>
      </w:r>
      <w:r w:rsidR="00F231EB">
        <w:t>process</w:t>
      </w:r>
      <w:r w:rsidR="00B258D3">
        <w:t xml:space="preserve">. </w:t>
      </w:r>
      <w:r w:rsidR="00E72FC6">
        <w:t xml:space="preserve">Table 1 provides three veto threat excerpts from </w:t>
      </w:r>
      <w:proofErr w:type="spellStart"/>
      <w:r w:rsidR="00E72FC6">
        <w:t>SAPs</w:t>
      </w:r>
      <w:proofErr w:type="spellEnd"/>
      <w:r w:rsidR="00E72FC6">
        <w:t xml:space="preserve"> and the corresponding legislative text triggering the threat to illustrate the process of translating the veto rhetoric from SAP to bill provisions</w:t>
      </w:r>
      <w:r w:rsidR="00B258D3">
        <w:t>.</w:t>
      </w:r>
      <w:r w:rsidR="00C90BFB">
        <w:t xml:space="preserve"> </w:t>
      </w:r>
      <w:r w:rsidR="00A81F87">
        <w:t>Over the course of deliberation,</w:t>
      </w:r>
      <w:r w:rsidR="00995F55">
        <w:t xml:space="preserve"> </w:t>
      </w:r>
      <w:r w:rsidR="00471493">
        <w:t xml:space="preserve">Congress either dropped or </w:t>
      </w:r>
      <w:proofErr w:type="gramStart"/>
      <w:r w:rsidR="00471493">
        <w:t>significantly</w:t>
      </w:r>
      <w:proofErr w:type="gramEnd"/>
      <w:r w:rsidR="00471493">
        <w:t xml:space="preserve"> modified </w:t>
      </w:r>
      <w:r w:rsidR="00132072">
        <w:t>nearly</w:t>
      </w:r>
      <w:r w:rsidR="00C90BFB">
        <w:t xml:space="preserve"> three-fifths of the </w:t>
      </w:r>
      <w:r w:rsidR="00995F55">
        <w:t>objectionable provisions</w:t>
      </w:r>
      <w:r w:rsidR="00F820FB">
        <w:t xml:space="preserve"> </w:t>
      </w:r>
      <w:r w:rsidR="00471493">
        <w:t>to</w:t>
      </w:r>
      <w:r w:rsidR="00F820FB">
        <w:t xml:space="preserve"> bring them closer to the president’s preference</w:t>
      </w:r>
      <w:r w:rsidR="00471493">
        <w:t>s</w:t>
      </w:r>
      <w:r w:rsidR="00F820FB">
        <w:t xml:space="preserve">. </w:t>
      </w:r>
      <w:r w:rsidR="00471493">
        <w:t>Presidents did sign</w:t>
      </w:r>
      <w:r w:rsidR="00C90BFB">
        <w:t xml:space="preserve"> </w:t>
      </w:r>
      <w:r w:rsidR="00471493">
        <w:t>26</w:t>
      </w:r>
      <w:r w:rsidR="00C90BFB">
        <w:t xml:space="preserve"> bills </w:t>
      </w:r>
      <w:r w:rsidR="00F820FB">
        <w:t xml:space="preserve">in which </w:t>
      </w:r>
      <w:r w:rsidR="00C90BFB">
        <w:t xml:space="preserve">Congress </w:t>
      </w:r>
      <w:r w:rsidR="00F820FB">
        <w:t xml:space="preserve">failed to remove or modify </w:t>
      </w:r>
      <w:r w:rsidR="00736CAB">
        <w:t>a</w:t>
      </w:r>
      <w:r w:rsidR="00471493">
        <w:t>ny</w:t>
      </w:r>
      <w:r w:rsidR="00736CAB">
        <w:t xml:space="preserve"> targeted provisions</w:t>
      </w:r>
      <w:r w:rsidR="00491027">
        <w:t xml:space="preserve">, </w:t>
      </w:r>
      <w:r w:rsidR="00C90BFB">
        <w:t xml:space="preserve">but </w:t>
      </w:r>
      <w:r w:rsidR="00491027">
        <w:t xml:space="preserve">all but </w:t>
      </w:r>
      <w:r w:rsidR="00C90BFB">
        <w:t xml:space="preserve">two </w:t>
      </w:r>
      <w:r w:rsidR="00491027">
        <w:t xml:space="preserve">had </w:t>
      </w:r>
      <w:r w:rsidR="00C90BFB">
        <w:t xml:space="preserve">passed </w:t>
      </w:r>
      <w:r w:rsidR="00736CAB">
        <w:t>both chamber</w:t>
      </w:r>
      <w:r w:rsidR="00491027">
        <w:t>s</w:t>
      </w:r>
      <w:r w:rsidR="00C90BFB">
        <w:t xml:space="preserve"> with </w:t>
      </w:r>
      <w:r w:rsidR="00937B2B">
        <w:t>veto proof majorities.</w:t>
      </w:r>
    </w:p>
    <w:p w:rsidR="00C90BFB" w:rsidRPr="00B258D3" w:rsidRDefault="00AC095F" w:rsidP="00B258D3">
      <w:pPr>
        <w:jc w:val="center"/>
      </w:pPr>
      <w:r>
        <w:t>[</w:t>
      </w:r>
      <w:r w:rsidR="00B258D3">
        <w:t>Table 1 here</w:t>
      </w:r>
      <w:r>
        <w:t>]</w:t>
      </w:r>
    </w:p>
    <w:p w:rsidR="0032673C" w:rsidRPr="004B48B8" w:rsidRDefault="0032673C" w:rsidP="0032673C">
      <w:pPr>
        <w:pStyle w:val="Heading3"/>
        <w:framePr w:wrap="auto" w:vAnchor="margin" w:yAlign="inline"/>
      </w:pPr>
      <w:r w:rsidRPr="004B48B8">
        <w:t>Method</w:t>
      </w:r>
    </w:p>
    <w:p w:rsidR="0032673C" w:rsidRDefault="00DB6C98" w:rsidP="00A6651B">
      <w:r>
        <w:rPr>
          <w:rFonts w:eastAsiaTheme="minorHAnsi"/>
        </w:rPr>
        <w:t xml:space="preserve">With some of </w:t>
      </w:r>
      <w:r w:rsidR="008B1856">
        <w:rPr>
          <w:rFonts w:eastAsiaTheme="minorHAnsi"/>
        </w:rPr>
        <w:t>the above</w:t>
      </w:r>
      <w:r>
        <w:rPr>
          <w:rFonts w:eastAsiaTheme="minorHAnsi"/>
        </w:rPr>
        <w:t xml:space="preserve"> </w:t>
      </w:r>
      <w:r w:rsidR="00491027">
        <w:rPr>
          <w:rFonts w:eastAsiaTheme="minorHAnsi"/>
        </w:rPr>
        <w:t xml:space="preserve">predictions </w:t>
      </w:r>
      <w:r>
        <w:rPr>
          <w:rFonts w:eastAsiaTheme="minorHAnsi"/>
        </w:rPr>
        <w:t>addressing the legislative process and others dealing with the policy content of legislation, we developed bill and provision level datasets</w:t>
      </w:r>
      <w:r w:rsidR="00AC095F">
        <w:rPr>
          <w:rFonts w:eastAsiaTheme="minorHAnsi"/>
        </w:rPr>
        <w:t xml:space="preserve"> for the analysis. </w:t>
      </w:r>
      <w:r w:rsidR="00B17BEF">
        <w:rPr>
          <w:rFonts w:eastAsiaTheme="minorHAnsi"/>
        </w:rPr>
        <w:t>In each case,</w:t>
      </w:r>
      <w:r w:rsidR="00AC095F">
        <w:rPr>
          <w:rFonts w:eastAsiaTheme="minorHAnsi"/>
        </w:rPr>
        <w:t xml:space="preserve"> the predictions</w:t>
      </w:r>
      <w:r>
        <w:rPr>
          <w:rFonts w:eastAsiaTheme="minorHAnsi"/>
        </w:rPr>
        <w:t xml:space="preserve"> </w:t>
      </w:r>
      <w:r w:rsidR="00DF06AC">
        <w:rPr>
          <w:rFonts w:eastAsiaTheme="minorHAnsi"/>
        </w:rPr>
        <w:t>of</w:t>
      </w:r>
      <w:r w:rsidR="00491027">
        <w:rPr>
          <w:rFonts w:eastAsiaTheme="minorHAnsi"/>
        </w:rPr>
        <w:t xml:space="preserve"> t</w:t>
      </w:r>
      <w:r w:rsidR="00DB17EB">
        <w:rPr>
          <w:rFonts w:eastAsiaTheme="minorHAnsi"/>
        </w:rPr>
        <w:t>he</w:t>
      </w:r>
      <w:r w:rsidR="00B17BEF">
        <w:rPr>
          <w:rFonts w:eastAsiaTheme="minorHAnsi"/>
        </w:rPr>
        <w:t xml:space="preserve"> model require</w:t>
      </w:r>
      <w:r w:rsidR="0032673C">
        <w:rPr>
          <w:rFonts w:eastAsiaTheme="minorHAnsi"/>
        </w:rPr>
        <w:t xml:space="preserve"> </w:t>
      </w:r>
      <w:r w:rsidR="004C6A23">
        <w:rPr>
          <w:rFonts w:eastAsiaTheme="minorHAnsi"/>
        </w:rPr>
        <w:t xml:space="preserve">testing </w:t>
      </w:r>
      <w:r w:rsidR="0032673C">
        <w:rPr>
          <w:rFonts w:eastAsiaTheme="minorHAnsi"/>
        </w:rPr>
        <w:t xml:space="preserve">a veto threat’s impact </w:t>
      </w:r>
      <w:r w:rsidR="00AC095F">
        <w:rPr>
          <w:rFonts w:eastAsiaTheme="minorHAnsi"/>
        </w:rPr>
        <w:t>against</w:t>
      </w:r>
      <w:r w:rsidR="0032673C">
        <w:t xml:space="preserve"> </w:t>
      </w:r>
      <w:r w:rsidR="00DF06AC">
        <w:t xml:space="preserve">a control population of </w:t>
      </w:r>
      <w:r w:rsidR="0032673C">
        <w:t xml:space="preserve">unthreatened </w:t>
      </w:r>
      <w:r w:rsidR="00DB17EB">
        <w:t>observations</w:t>
      </w:r>
      <w:r w:rsidR="0032673C">
        <w:t>.</w:t>
      </w:r>
      <w:r w:rsidR="007B4821">
        <w:t xml:space="preserve"> </w:t>
      </w:r>
      <w:r w:rsidR="00DF06AC">
        <w:t>We</w:t>
      </w:r>
      <w:r w:rsidR="007B4821">
        <w:t xml:space="preserve"> </w:t>
      </w:r>
      <w:r w:rsidR="00DF06AC">
        <w:t xml:space="preserve">enlisted </w:t>
      </w:r>
      <w:r w:rsidR="007B4821">
        <w:t>clustered random sampling to populate the control population of unthreatened provisions</w:t>
      </w:r>
      <w:r w:rsidR="00550D3A">
        <w:t xml:space="preserve"> for the provision-level dataset</w:t>
      </w:r>
      <w:r w:rsidR="007B4821">
        <w:t>.</w:t>
      </w:r>
      <w:r w:rsidR="00830C02">
        <w:rPr>
          <w:rStyle w:val="FootnoteReference"/>
        </w:rPr>
        <w:footnoteReference w:id="18"/>
      </w:r>
      <w:r w:rsidR="0032673C">
        <w:t xml:space="preserve"> </w:t>
      </w:r>
      <w:r w:rsidR="00550D3A">
        <w:t xml:space="preserve">The </w:t>
      </w:r>
      <w:r w:rsidR="007B4821">
        <w:t xml:space="preserve">cluster sampling </w:t>
      </w:r>
      <w:r w:rsidR="003C5383">
        <w:t>procedure allows us to more finely parse</w:t>
      </w:r>
      <w:r w:rsidR="007B4821">
        <w:t xml:space="preserve"> the trajectory of </w:t>
      </w:r>
      <w:r w:rsidR="003C5383">
        <w:t xml:space="preserve">unthreatened </w:t>
      </w:r>
      <w:r w:rsidR="007B4821">
        <w:t xml:space="preserve">provisions and the relevant bill-level covariates than tracking </w:t>
      </w:r>
      <w:r w:rsidR="00550D3A">
        <w:t xml:space="preserve">a random set of </w:t>
      </w:r>
      <w:r w:rsidR="007B4821">
        <w:t xml:space="preserve">provisions </w:t>
      </w:r>
      <w:r w:rsidR="00550D3A">
        <w:t>across</w:t>
      </w:r>
      <w:r w:rsidR="007B4821">
        <w:t xml:space="preserve"> many disparate bills would allow</w:t>
      </w:r>
      <w:r w:rsidR="00550D3A">
        <w:t>. In total the sampling procedure</w:t>
      </w:r>
      <w:r w:rsidR="0032673C">
        <w:t xml:space="preserve"> produced a control sample</w:t>
      </w:r>
      <w:r w:rsidR="00E4790C">
        <w:t xml:space="preserve"> of 568 unthreatened provisions</w:t>
      </w:r>
      <w:r w:rsidR="0032673C">
        <w:t xml:space="preserve">. </w:t>
      </w:r>
      <w:r w:rsidR="00E4790C">
        <w:t>Within the random sample of provisions sixteen were among those subject to a SAP veto threat. Setting these aside, t</w:t>
      </w:r>
      <w:r w:rsidR="0032673C">
        <w:t>he combined total population of threatened and unthreatened provisions was 1,420</w:t>
      </w:r>
      <w:r w:rsidR="005C2779">
        <w:t>, which comprise our core provision-level dataset</w:t>
      </w:r>
      <w:r w:rsidR="0032673C">
        <w:t xml:space="preserve">. </w:t>
      </w:r>
      <w:r w:rsidR="001A2A70">
        <w:t xml:space="preserve">The </w:t>
      </w:r>
      <w:r w:rsidR="001A2A70" w:rsidRPr="007B25FE">
        <w:t xml:space="preserve">sixteen overlapping </w:t>
      </w:r>
      <w:r w:rsidR="001A2A70">
        <w:t xml:space="preserve">cases, however, also allow us to </w:t>
      </w:r>
      <w:r w:rsidR="001A2A70" w:rsidRPr="007B25FE">
        <w:t xml:space="preserve">estimate </w:t>
      </w:r>
      <w:r w:rsidR="001A2A70">
        <w:t xml:space="preserve">an incidence rate for veto threats and correspondingly weight the data </w:t>
      </w:r>
      <w:r w:rsidR="001A2A70" w:rsidRPr="007B25FE">
        <w:t>to correct for the oversampl</w:t>
      </w:r>
      <w:r w:rsidR="001A2A70">
        <w:t xml:space="preserve">e </w:t>
      </w:r>
      <w:r w:rsidR="001A2A70" w:rsidRPr="007B25FE">
        <w:t>of threatened provisions</w:t>
      </w:r>
      <w:r w:rsidR="001A2A70">
        <w:t xml:space="preserve"> using a choice-based sampling weighting procedure </w:t>
      </w:r>
      <w:r w:rsidR="001A2A70" w:rsidRPr="007B25FE">
        <w:t xml:space="preserve">(see </w:t>
      </w:r>
      <w:r w:rsidR="001A2A70" w:rsidRPr="007B25FE">
        <w:rPr>
          <w:noProof/>
        </w:rPr>
        <w:t>Manski and Lerman 1977; Cameron and Trevedi 2005; Cameron 2000)</w:t>
      </w:r>
      <w:r w:rsidR="00E4790C">
        <w:t>.</w:t>
      </w:r>
      <w:r w:rsidR="00E4790C">
        <w:rPr>
          <w:rStyle w:val="FootnoteReference"/>
        </w:rPr>
        <w:footnoteReference w:id="19"/>
      </w:r>
      <w:r w:rsidR="00E401A9">
        <w:rPr>
          <w:color w:val="FF0000"/>
        </w:rPr>
        <w:t xml:space="preserve"> </w:t>
      </w:r>
    </w:p>
    <w:p w:rsidR="0032673C" w:rsidRDefault="00E401A9" w:rsidP="0032673C">
      <w:pPr>
        <w:rPr>
          <w:rFonts w:eastAsiaTheme="minorHAnsi"/>
        </w:rPr>
      </w:pPr>
      <w:r>
        <w:t>T</w:t>
      </w:r>
      <w:r w:rsidRPr="00E4790C">
        <w:t xml:space="preserve">o </w:t>
      </w:r>
      <w:r>
        <w:t xml:space="preserve">estimate the causal effect of veto threats on provisions </w:t>
      </w:r>
      <w:r w:rsidR="00D54C26">
        <w:t xml:space="preserve">more precisely </w:t>
      </w:r>
      <w:r>
        <w:t xml:space="preserve">we </w:t>
      </w:r>
      <w:r w:rsidRPr="00E4790C">
        <w:t xml:space="preserve">further refine the random sample of unthreatened provisions </w:t>
      </w:r>
      <w:r>
        <w:t>using</w:t>
      </w:r>
      <w:r w:rsidR="00DE6279" w:rsidRPr="00E4790C">
        <w:t xml:space="preserve"> a genetic matching algorithm </w:t>
      </w:r>
      <w:r w:rsidR="002F4752" w:rsidRPr="00E4790C">
        <w:t xml:space="preserve">in the </w:t>
      </w:r>
      <w:r w:rsidR="004077E4" w:rsidRPr="00E4790C">
        <w:t>R</w:t>
      </w:r>
      <w:r w:rsidR="002F4752" w:rsidRPr="00E4790C">
        <w:t xml:space="preserve"> </w:t>
      </w:r>
      <w:r w:rsidR="00D54C26">
        <w:t xml:space="preserve">statistical </w:t>
      </w:r>
      <w:r w:rsidR="002F4752" w:rsidRPr="00E4790C">
        <w:t xml:space="preserve">package </w:t>
      </w:r>
      <w:proofErr w:type="spellStart"/>
      <w:r w:rsidR="00ED3795">
        <w:t>MatchIt</w:t>
      </w:r>
      <w:proofErr w:type="spellEnd"/>
      <w:r w:rsidR="002F4752">
        <w:rPr>
          <w:color w:val="FF0000"/>
        </w:rPr>
        <w:t xml:space="preserve"> </w:t>
      </w:r>
      <w:r w:rsidR="0032673C" w:rsidRPr="00C30AC0">
        <w:t xml:space="preserve">(see </w:t>
      </w:r>
      <w:r w:rsidR="004077E4">
        <w:t xml:space="preserve">Ho et al. 2007; </w:t>
      </w:r>
      <w:r w:rsidR="0032673C" w:rsidRPr="00E4790C">
        <w:t xml:space="preserve">Diamond </w:t>
      </w:r>
      <w:r w:rsidR="00FE27AC">
        <w:t>and</w:t>
      </w:r>
      <w:r w:rsidR="0032673C" w:rsidRPr="00E4790C">
        <w:t xml:space="preserve"> </w:t>
      </w:r>
      <w:proofErr w:type="spellStart"/>
      <w:r w:rsidR="0032673C" w:rsidRPr="00E4790C">
        <w:t>Sekhon</w:t>
      </w:r>
      <w:proofErr w:type="spellEnd"/>
      <w:r w:rsidR="0032673C" w:rsidRPr="00E4790C">
        <w:t xml:space="preserve"> 2012</w:t>
      </w:r>
      <w:r>
        <w:t>).</w:t>
      </w:r>
      <w:r w:rsidR="0032673C">
        <w:t xml:space="preserve"> </w:t>
      </w:r>
      <w:r>
        <w:t>T</w:t>
      </w:r>
      <w:r w:rsidR="002F4752">
        <w:t xml:space="preserve">he </w:t>
      </w:r>
      <w:r w:rsidR="004077E4">
        <w:t xml:space="preserve">genetic matching </w:t>
      </w:r>
      <w:r w:rsidR="002F4752">
        <w:t xml:space="preserve">algorithm </w:t>
      </w:r>
      <w:r w:rsidR="00ED3795">
        <w:t>takes</w:t>
      </w:r>
      <w:r>
        <w:t xml:space="preserve"> the random sample of provisions and </w:t>
      </w:r>
      <w:r w:rsidR="0032673C">
        <w:t xml:space="preserve">iteratively </w:t>
      </w:r>
      <w:r w:rsidR="004077E4">
        <w:t xml:space="preserve">weights the observations to maximize balance </w:t>
      </w:r>
      <w:r w:rsidR="0032673C" w:rsidRPr="00C30AC0">
        <w:t xml:space="preserve">on </w:t>
      </w:r>
      <w:r w:rsidR="00ED3795">
        <w:t xml:space="preserve">the </w:t>
      </w:r>
      <w:r>
        <w:t xml:space="preserve">specified </w:t>
      </w:r>
      <w:r w:rsidR="0032673C">
        <w:t>observable</w:t>
      </w:r>
      <w:r w:rsidR="0032673C" w:rsidRPr="00C30AC0">
        <w:t xml:space="preserve"> covariates</w:t>
      </w:r>
      <w:r w:rsidR="004077E4">
        <w:t xml:space="preserve"> </w:t>
      </w:r>
      <w:r w:rsidR="004077E4">
        <w:rPr>
          <w:rFonts w:eastAsiaTheme="minorHAnsi"/>
        </w:rPr>
        <w:t>(</w:t>
      </w:r>
      <w:proofErr w:type="spellStart"/>
      <w:r w:rsidR="004077E4">
        <w:rPr>
          <w:rFonts w:eastAsiaTheme="minorHAnsi"/>
        </w:rPr>
        <w:t>Sekhon</w:t>
      </w:r>
      <w:proofErr w:type="spellEnd"/>
      <w:r w:rsidR="004077E4">
        <w:rPr>
          <w:rFonts w:eastAsiaTheme="minorHAnsi"/>
        </w:rPr>
        <w:t xml:space="preserve"> </w:t>
      </w:r>
      <w:r w:rsidR="00FE27AC">
        <w:rPr>
          <w:rFonts w:eastAsiaTheme="minorHAnsi"/>
        </w:rPr>
        <w:t>and</w:t>
      </w:r>
      <w:r w:rsidR="004077E4">
        <w:rPr>
          <w:rFonts w:eastAsiaTheme="minorHAnsi"/>
        </w:rPr>
        <w:t xml:space="preserve"> Mebane 1998)</w:t>
      </w:r>
      <w:r w:rsidR="0032673C">
        <w:t>.</w:t>
      </w:r>
      <w:r w:rsidR="002F4752">
        <w:rPr>
          <w:rStyle w:val="FootnoteReference"/>
        </w:rPr>
        <w:footnoteReference w:id="20"/>
      </w:r>
      <w:r w:rsidR="0032673C">
        <w:t xml:space="preserve"> </w:t>
      </w:r>
      <w:r w:rsidR="00ED3795">
        <w:t xml:space="preserve">Like other forms of matching, the genetic algorithm winnows out control </w:t>
      </w:r>
      <w:r w:rsidR="0032673C">
        <w:t>provisions</w:t>
      </w:r>
      <w:r w:rsidR="0032673C" w:rsidRPr="00C30AC0">
        <w:t xml:space="preserve"> dissimilar </w:t>
      </w:r>
      <w:r w:rsidR="00ED3795">
        <w:t>to veto threatened cases</w:t>
      </w:r>
      <w:r w:rsidR="0032673C" w:rsidRPr="00C30AC0">
        <w:t xml:space="preserve">, leaving </w:t>
      </w:r>
      <w:r w:rsidR="00ED3795">
        <w:t>the</w:t>
      </w:r>
      <w:r w:rsidR="0032673C" w:rsidRPr="00C30AC0">
        <w:t xml:space="preserve"> </w:t>
      </w:r>
      <w:r w:rsidR="00ED3795">
        <w:t xml:space="preserve">provisions </w:t>
      </w:r>
      <w:r w:rsidR="0032673C" w:rsidRPr="00C30AC0">
        <w:t>most similar to the popul</w:t>
      </w:r>
      <w:r w:rsidR="004077E4">
        <w:t>ation of threatened provisions.</w:t>
      </w:r>
      <w:r w:rsidR="0032673C" w:rsidRPr="00C30AC0">
        <w:rPr>
          <w:rStyle w:val="FootnoteReference"/>
          <w:rFonts w:eastAsiaTheme="minorHAnsi"/>
        </w:rPr>
        <w:footnoteReference w:id="21"/>
      </w:r>
      <w:r w:rsidR="0032673C">
        <w:rPr>
          <w:rFonts w:eastAsiaTheme="minorHAnsi"/>
        </w:rPr>
        <w:t xml:space="preserve"> For t</w:t>
      </w:r>
      <w:r w:rsidR="001F257D">
        <w:rPr>
          <w:rFonts w:eastAsiaTheme="minorHAnsi"/>
        </w:rPr>
        <w:t>esting thos</w:t>
      </w:r>
      <w:r w:rsidR="0032673C">
        <w:rPr>
          <w:rFonts w:eastAsiaTheme="minorHAnsi"/>
        </w:rPr>
        <w:t xml:space="preserve">e hypotheses </w:t>
      </w:r>
      <w:r w:rsidR="001F257D">
        <w:rPr>
          <w:rFonts w:eastAsiaTheme="minorHAnsi"/>
        </w:rPr>
        <w:t>about</w:t>
      </w:r>
      <w:r w:rsidR="0032673C">
        <w:rPr>
          <w:rFonts w:eastAsiaTheme="minorHAnsi"/>
        </w:rPr>
        <w:t xml:space="preserve"> the legislative process</w:t>
      </w:r>
      <w:r w:rsidR="001F257D">
        <w:rPr>
          <w:rFonts w:eastAsiaTheme="minorHAnsi"/>
        </w:rPr>
        <w:t>,</w:t>
      </w:r>
      <w:r w:rsidR="0032673C">
        <w:rPr>
          <w:rFonts w:eastAsiaTheme="minorHAnsi"/>
        </w:rPr>
        <w:t xml:space="preserve"> </w:t>
      </w:r>
      <w:r w:rsidR="0032673C" w:rsidRPr="00DD1FF8">
        <w:rPr>
          <w:rFonts w:eastAsiaTheme="minorHAnsi"/>
        </w:rPr>
        <w:t>we</w:t>
      </w:r>
      <w:r w:rsidR="0032673C">
        <w:rPr>
          <w:rFonts w:eastAsiaTheme="minorHAnsi"/>
        </w:rPr>
        <w:t xml:space="preserve"> </w:t>
      </w:r>
      <w:r w:rsidR="0032673C" w:rsidRPr="00C30AC0">
        <w:rPr>
          <w:rFonts w:eastAsiaTheme="minorHAnsi"/>
        </w:rPr>
        <w:t xml:space="preserve">run the </w:t>
      </w:r>
      <w:r w:rsidR="0032673C">
        <w:rPr>
          <w:rFonts w:eastAsiaTheme="minorHAnsi"/>
        </w:rPr>
        <w:t xml:space="preserve">same genetic </w:t>
      </w:r>
      <w:r w:rsidR="0032673C" w:rsidRPr="00C30AC0">
        <w:rPr>
          <w:rFonts w:eastAsiaTheme="minorHAnsi"/>
        </w:rPr>
        <w:t xml:space="preserve">matching algorithm </w:t>
      </w:r>
      <w:r w:rsidR="0032673C">
        <w:rPr>
          <w:rFonts w:eastAsiaTheme="minorHAnsi"/>
        </w:rPr>
        <w:t>on the</w:t>
      </w:r>
      <w:r w:rsidR="0032673C" w:rsidRPr="00C30AC0">
        <w:rPr>
          <w:rFonts w:eastAsiaTheme="minorHAnsi"/>
        </w:rPr>
        <w:t xml:space="preserve"> </w:t>
      </w:r>
      <w:r w:rsidR="00A81B0A">
        <w:rPr>
          <w:rFonts w:eastAsiaTheme="minorHAnsi"/>
        </w:rPr>
        <w:t xml:space="preserve">full </w:t>
      </w:r>
      <w:r w:rsidR="0032673C">
        <w:rPr>
          <w:rFonts w:eastAsiaTheme="minorHAnsi"/>
        </w:rPr>
        <w:t>population of enrolled bills</w:t>
      </w:r>
      <w:r w:rsidR="00A81B0A">
        <w:rPr>
          <w:rFonts w:eastAsiaTheme="minorHAnsi"/>
        </w:rPr>
        <w:t xml:space="preserve"> from 1985 to 2008</w:t>
      </w:r>
      <w:r w:rsidR="0032673C">
        <w:rPr>
          <w:rFonts w:eastAsiaTheme="minorHAnsi"/>
        </w:rPr>
        <w:t xml:space="preserve">. The larger pool of observations allows </w:t>
      </w:r>
      <w:r w:rsidR="00D54C26">
        <w:rPr>
          <w:rFonts w:eastAsiaTheme="minorHAnsi"/>
        </w:rPr>
        <w:t>for an</w:t>
      </w:r>
      <w:r w:rsidR="0032673C">
        <w:rPr>
          <w:rFonts w:eastAsiaTheme="minorHAnsi"/>
        </w:rPr>
        <w:t xml:space="preserve"> increase in the number of control observat</w:t>
      </w:r>
      <w:r w:rsidR="00D54C26">
        <w:rPr>
          <w:rFonts w:eastAsiaTheme="minorHAnsi"/>
        </w:rPr>
        <w:t xml:space="preserve">ions from 1:1 for provision </w:t>
      </w:r>
      <w:r w:rsidR="0032673C">
        <w:rPr>
          <w:rFonts w:eastAsiaTheme="minorHAnsi"/>
        </w:rPr>
        <w:t>lev</w:t>
      </w:r>
      <w:r w:rsidR="00D54C26">
        <w:rPr>
          <w:rFonts w:eastAsiaTheme="minorHAnsi"/>
        </w:rPr>
        <w:t xml:space="preserve">el dataset to 3:1 for the bill level dataset, improving the balance of </w:t>
      </w:r>
      <w:r w:rsidR="00E4790C">
        <w:rPr>
          <w:rFonts w:eastAsiaTheme="minorHAnsi"/>
        </w:rPr>
        <w:t xml:space="preserve">threatened and unthreatened cases </w:t>
      </w:r>
      <w:r w:rsidR="0032673C">
        <w:rPr>
          <w:rFonts w:eastAsiaTheme="minorHAnsi"/>
        </w:rPr>
        <w:t xml:space="preserve">on </w:t>
      </w:r>
      <w:r w:rsidR="00D54C26">
        <w:rPr>
          <w:rFonts w:eastAsiaTheme="minorHAnsi"/>
        </w:rPr>
        <w:t xml:space="preserve">the </w:t>
      </w:r>
      <w:r w:rsidR="0032673C">
        <w:rPr>
          <w:rFonts w:eastAsiaTheme="minorHAnsi"/>
        </w:rPr>
        <w:t xml:space="preserve">observable covariates. </w:t>
      </w:r>
    </w:p>
    <w:p w:rsidR="0032673C" w:rsidRDefault="001F257D" w:rsidP="0032673C">
      <w:pPr>
        <w:rPr>
          <w:rFonts w:eastAsiaTheme="minorHAnsi"/>
        </w:rPr>
      </w:pPr>
      <w:r>
        <w:rPr>
          <w:rFonts w:eastAsiaTheme="minorHAnsi"/>
        </w:rPr>
        <w:t>These</w:t>
      </w:r>
      <w:r w:rsidR="0032673C">
        <w:rPr>
          <w:rFonts w:eastAsiaTheme="minorHAnsi"/>
        </w:rPr>
        <w:t xml:space="preserve"> </w:t>
      </w:r>
      <w:r w:rsidR="0032673C">
        <w:t xml:space="preserve">procedures provide three distinct </w:t>
      </w:r>
      <w:r w:rsidR="005C2779">
        <w:t xml:space="preserve">datasets: 1) </w:t>
      </w:r>
      <w:r w:rsidR="0032673C">
        <w:t xml:space="preserve">bill-level </w:t>
      </w:r>
      <w:r w:rsidR="003378CF">
        <w:t>observations</w:t>
      </w:r>
      <w:r w:rsidR="0032673C">
        <w:t xml:space="preserve"> winnowed by genetic matching to </w:t>
      </w:r>
      <w:r w:rsidR="008B1856">
        <w:t>yield</w:t>
      </w:r>
      <w:r w:rsidR="0032673C">
        <w:t xml:space="preserve"> comparable population</w:t>
      </w:r>
      <w:r w:rsidR="00A81B0A">
        <w:t>s</w:t>
      </w:r>
      <w:r w:rsidR="0032673C">
        <w:t xml:space="preserve"> of unthreatene</w:t>
      </w:r>
      <w:r w:rsidR="005C2779">
        <w:t>d and threatened enrolled bills; 2)</w:t>
      </w:r>
      <w:r w:rsidR="000C04BD">
        <w:t xml:space="preserve"> t</w:t>
      </w:r>
      <w:r w:rsidR="0032673C">
        <w:t xml:space="preserve">he choice-based </w:t>
      </w:r>
      <w:r w:rsidR="008B1856">
        <w:t xml:space="preserve">sample </w:t>
      </w:r>
      <w:r w:rsidR="003378CF">
        <w:t xml:space="preserve">comprised of all threatened and a random </w:t>
      </w:r>
      <w:r w:rsidR="0032673C">
        <w:t xml:space="preserve">sample of </w:t>
      </w:r>
      <w:r w:rsidR="0033722C">
        <w:t>all provisions</w:t>
      </w:r>
      <w:r w:rsidR="0032673C" w:rsidRPr="005335D5">
        <w:t>, weight</w:t>
      </w:r>
      <w:r w:rsidR="0032673C">
        <w:t xml:space="preserve">ed to </w:t>
      </w:r>
      <w:r w:rsidR="0033722C">
        <w:t>correct the over-sampling of threatened provisions</w:t>
      </w:r>
      <w:r w:rsidR="00A6651B">
        <w:t xml:space="preserve">; and 3) </w:t>
      </w:r>
      <w:r w:rsidR="0032673C" w:rsidRPr="005335D5">
        <w:t xml:space="preserve">genetically matched </w:t>
      </w:r>
      <w:r w:rsidR="00A6651B">
        <w:t>provision</w:t>
      </w:r>
      <w:r w:rsidR="0033722C">
        <w:t>-leve</w:t>
      </w:r>
      <w:r w:rsidR="008517CC">
        <w:t>l</w:t>
      </w:r>
      <w:r w:rsidR="00A6651B">
        <w:t xml:space="preserve"> </w:t>
      </w:r>
      <w:r w:rsidR="0032673C">
        <w:t>data</w:t>
      </w:r>
      <w:r w:rsidR="00554607">
        <w:t xml:space="preserve"> for assessing the </w:t>
      </w:r>
      <w:r w:rsidR="0033722C">
        <w:t>treatment effects of</w:t>
      </w:r>
      <w:r w:rsidR="0032673C">
        <w:t xml:space="preserve"> veto threat</w:t>
      </w:r>
      <w:r w:rsidR="0033722C">
        <w:t>s</w:t>
      </w:r>
      <w:r w:rsidR="0032673C">
        <w:t xml:space="preserve"> </w:t>
      </w:r>
      <w:r w:rsidR="000C04BD">
        <w:t xml:space="preserve">on </w:t>
      </w:r>
      <w:r w:rsidR="00554607">
        <w:t>a</w:t>
      </w:r>
      <w:r w:rsidR="000C04BD">
        <w:t xml:space="preserve"> provision</w:t>
      </w:r>
      <w:r w:rsidR="00554607">
        <w:t>’</w:t>
      </w:r>
      <w:r w:rsidR="000C04BD">
        <w:t xml:space="preserve">s </w:t>
      </w:r>
      <w:r w:rsidR="00554607">
        <w:t>survival</w:t>
      </w:r>
      <w:r w:rsidR="0033722C">
        <w:t xml:space="preserve"> or modification</w:t>
      </w:r>
      <w:r w:rsidR="0032673C">
        <w:t xml:space="preserve">. </w:t>
      </w:r>
      <w:r w:rsidR="0033722C">
        <w:t xml:space="preserve">All of the dependent variables are binary which we estimate with </w:t>
      </w:r>
      <w:r w:rsidR="007C2AF8">
        <w:t>logistic regression</w:t>
      </w:r>
      <w:r w:rsidR="0033722C">
        <w:t>;</w:t>
      </w:r>
      <w:r w:rsidR="007C2AF8">
        <w:t xml:space="preserve"> the provision-level estimates </w:t>
      </w:r>
      <w:r w:rsidR="0033722C">
        <w:t xml:space="preserve">are </w:t>
      </w:r>
      <w:r w:rsidR="007C2AF8">
        <w:t xml:space="preserve">clustered by bill to </w:t>
      </w:r>
      <w:r w:rsidR="008B1856">
        <w:t>adjust the standard errors</w:t>
      </w:r>
      <w:r w:rsidR="007C2AF8">
        <w:t>.</w:t>
      </w:r>
      <w:r w:rsidR="00AD4E2C">
        <w:rPr>
          <w:rStyle w:val="FootnoteReference"/>
        </w:rPr>
        <w:footnoteReference w:id="22"/>
      </w:r>
      <w:r w:rsidR="007C2AF8">
        <w:t xml:space="preserve"> </w:t>
      </w:r>
    </w:p>
    <w:p w:rsidR="0032673C" w:rsidRDefault="0032673C" w:rsidP="0032673C">
      <w:pPr>
        <w:pStyle w:val="Heading3"/>
        <w:framePr w:wrap="auto" w:vAnchor="margin" w:yAlign="inline"/>
        <w:rPr>
          <w:rFonts w:eastAsiaTheme="minorHAnsi"/>
        </w:rPr>
      </w:pPr>
      <w:r>
        <w:rPr>
          <w:rFonts w:eastAsiaTheme="minorHAnsi"/>
        </w:rPr>
        <w:t>Systematic Sources of Veto Threats</w:t>
      </w:r>
    </w:p>
    <w:p w:rsidR="0032673C" w:rsidRDefault="0032673C" w:rsidP="0032673C">
      <w:r>
        <w:rPr>
          <w:rFonts w:eastAsiaTheme="minorHAnsi"/>
        </w:rPr>
        <w:t xml:space="preserve">Threats do not arise randomly. Nor, as we show below, are they the endogenous products of </w:t>
      </w:r>
      <w:proofErr w:type="gramStart"/>
      <w:r>
        <w:rPr>
          <w:rFonts w:eastAsiaTheme="minorHAnsi"/>
        </w:rPr>
        <w:t>presidents</w:t>
      </w:r>
      <w:proofErr w:type="gramEnd"/>
      <w:r>
        <w:rPr>
          <w:rFonts w:eastAsiaTheme="minorHAnsi"/>
        </w:rPr>
        <w:t xml:space="preserve"> cherry picking doomed bills and provisions in order to</w:t>
      </w:r>
      <w:r w:rsidR="00FA212C">
        <w:rPr>
          <w:rFonts w:eastAsiaTheme="minorHAnsi"/>
        </w:rPr>
        <w:t xml:space="preserve"> claim</w:t>
      </w:r>
      <w:r>
        <w:rPr>
          <w:rFonts w:eastAsiaTheme="minorHAnsi"/>
        </w:rPr>
        <w:t xml:space="preserve"> credit </w:t>
      </w:r>
      <w:r w:rsidR="00FA212C">
        <w:rPr>
          <w:rFonts w:eastAsiaTheme="minorHAnsi"/>
        </w:rPr>
        <w:t>for their defeat</w:t>
      </w:r>
      <w:r>
        <w:rPr>
          <w:rFonts w:eastAsiaTheme="minorHAnsi"/>
        </w:rPr>
        <w:t xml:space="preserve">. Rather presidents rely on veto threats during divided government to fend off and temper major legislation </w:t>
      </w:r>
      <w:r w:rsidR="00FA212C">
        <w:rPr>
          <w:rFonts w:eastAsiaTheme="minorHAnsi"/>
        </w:rPr>
        <w:t>from</w:t>
      </w:r>
      <w:r>
        <w:rPr>
          <w:rFonts w:eastAsiaTheme="minorHAnsi"/>
        </w:rPr>
        <w:t xml:space="preserve"> opposition controlled Congresses.</w:t>
      </w:r>
      <w:r>
        <w:rPr>
          <w:rStyle w:val="FootnoteReference"/>
          <w:rFonts w:eastAsiaTheme="minorHAnsi"/>
        </w:rPr>
        <w:footnoteReference w:id="23"/>
      </w:r>
      <w:r>
        <w:rPr>
          <w:rFonts w:eastAsiaTheme="minorHAnsi"/>
        </w:rPr>
        <w:t xml:space="preserve">  To better appreciate the antecedents of ve</w:t>
      </w:r>
      <w:r w:rsidR="00E72FC6">
        <w:rPr>
          <w:rFonts w:eastAsiaTheme="minorHAnsi"/>
        </w:rPr>
        <w:t>to threats, the model in Table 2</w:t>
      </w:r>
      <w:r>
        <w:rPr>
          <w:rFonts w:eastAsiaTheme="minorHAnsi"/>
        </w:rPr>
        <w:t xml:space="preserve"> estimates the probability of a veto threat as a function of divided party control and other familiar covariates of research into presidential-congressional relations for several levels of observation: all bills, bills reported out of committee and provisions sampled from enrolled </w:t>
      </w:r>
      <w:r w:rsidRPr="00C607BB">
        <w:rPr>
          <w:rFonts w:eastAsiaTheme="minorHAnsi"/>
        </w:rPr>
        <w:t>legislation</w:t>
      </w:r>
      <w:r>
        <w:rPr>
          <w:rFonts w:eastAsiaTheme="minorHAnsi"/>
        </w:rPr>
        <w:t xml:space="preserve">. </w:t>
      </w:r>
      <w:r w:rsidRPr="000C04BD">
        <w:rPr>
          <w:rFonts w:eastAsiaTheme="minorHAnsi"/>
        </w:rPr>
        <w:t xml:space="preserve">Bills </w:t>
      </w:r>
      <w:r w:rsidRPr="000C04BD">
        <w:t>introduced by committee chairs, requested by an administrative agency, or spon</w:t>
      </w:r>
      <w:r>
        <w:t xml:space="preserve">sored by a large number of cosponsors </w:t>
      </w:r>
      <w:r>
        <w:rPr>
          <w:rFonts w:eastAsiaTheme="minorHAnsi"/>
        </w:rPr>
        <w:t xml:space="preserve">all increase the likelihood </w:t>
      </w:r>
      <w:r w:rsidR="00C607BB">
        <w:rPr>
          <w:rFonts w:eastAsiaTheme="minorHAnsi"/>
        </w:rPr>
        <w:t>of</w:t>
      </w:r>
      <w:r>
        <w:rPr>
          <w:rFonts w:eastAsiaTheme="minorHAnsi"/>
        </w:rPr>
        <w:t xml:space="preserve"> a veto threat. </w:t>
      </w:r>
      <w:r w:rsidR="00C607BB">
        <w:rPr>
          <w:rFonts w:eastAsiaTheme="minorHAnsi"/>
        </w:rPr>
        <w:t xml:space="preserve">A consistent </w:t>
      </w:r>
      <w:r>
        <w:t xml:space="preserve">pattern emerges </w:t>
      </w:r>
      <w:r w:rsidR="00C607BB">
        <w:t>from</w:t>
      </w:r>
      <w:r>
        <w:t xml:space="preserve"> these relationships </w:t>
      </w:r>
      <w:r w:rsidR="00C607BB">
        <w:t>of</w:t>
      </w:r>
      <w:r>
        <w:t xml:space="preserve"> presidents threaten</w:t>
      </w:r>
      <w:r w:rsidR="00C607BB">
        <w:t>ing</w:t>
      </w:r>
      <w:r>
        <w:t xml:space="preserve"> important bills </w:t>
      </w:r>
      <w:r w:rsidR="000C04BD">
        <w:t xml:space="preserve">that </w:t>
      </w:r>
      <w:r w:rsidR="00C607BB">
        <w:t>may well</w:t>
      </w:r>
      <w:r>
        <w:t xml:space="preserve"> </w:t>
      </w:r>
      <w:r w:rsidR="00C607BB">
        <w:t>show up on their desk as enrolled bills</w:t>
      </w:r>
      <w:r>
        <w:t>.</w:t>
      </w:r>
    </w:p>
    <w:p w:rsidR="00D64BF5" w:rsidRDefault="00AC095F" w:rsidP="00D64BF5">
      <w:pPr>
        <w:jc w:val="center"/>
      </w:pPr>
      <w:r>
        <w:t>[</w:t>
      </w:r>
      <w:r w:rsidR="00E72FC6">
        <w:t>Table 2</w:t>
      </w:r>
      <w:r>
        <w:t xml:space="preserve"> here]</w:t>
      </w:r>
      <w:r w:rsidR="00D64BF5">
        <w:t xml:space="preserve"> </w:t>
      </w:r>
    </w:p>
    <w:p w:rsidR="0032673C" w:rsidRPr="00584EBC" w:rsidRDefault="0032673C" w:rsidP="0032673C">
      <w:pPr>
        <w:rPr>
          <w:color w:val="FF0000"/>
        </w:rPr>
      </w:pPr>
      <w:r>
        <w:t xml:space="preserve">As expected, opposition control of the House and Senate </w:t>
      </w:r>
      <w:r w:rsidR="00C607BB">
        <w:t xml:space="preserve">significantly </w:t>
      </w:r>
      <w:r>
        <w:t xml:space="preserve">increase the likelihood of </w:t>
      </w:r>
      <w:r w:rsidR="001F257D">
        <w:t xml:space="preserve">a bill being </w:t>
      </w:r>
      <w:r>
        <w:t xml:space="preserve">threatened by five </w:t>
      </w:r>
      <w:r w:rsidR="00C607BB">
        <w:t xml:space="preserve">and three </w:t>
      </w:r>
      <w:r>
        <w:t>percentage points</w:t>
      </w:r>
      <w:r w:rsidR="00D64BF5">
        <w:t>,</w:t>
      </w:r>
      <w:r w:rsidR="00090829">
        <w:t xml:space="preserve"> respectively</w:t>
      </w:r>
      <w:r w:rsidR="00D64BF5">
        <w:t xml:space="preserve"> (see </w:t>
      </w:r>
      <w:r w:rsidR="00C66420">
        <w:t>equation</w:t>
      </w:r>
      <w:r w:rsidR="00D64BF5">
        <w:t xml:space="preserve"> 2)</w:t>
      </w:r>
      <w:r w:rsidRPr="00E84946">
        <w:t>.</w:t>
      </w:r>
      <w:r>
        <w:t xml:space="preserve"> </w:t>
      </w:r>
      <w:r w:rsidR="00CE2BCB">
        <w:t>P</w:t>
      </w:r>
      <w:r>
        <w:t>residents, however, appear to enjoy a legislative honeymoon</w:t>
      </w:r>
      <w:r w:rsidR="00CE2BCB">
        <w:t xml:space="preserve"> during their first year of office, </w:t>
      </w:r>
      <w:r w:rsidR="00D64BF5">
        <w:t>in that they are significantly less likely to issue</w:t>
      </w:r>
      <w:r>
        <w:t xml:space="preserve"> veto threats. </w:t>
      </w:r>
      <w:r w:rsidR="00D64BF5">
        <w:t>For</w:t>
      </w:r>
      <w:r w:rsidR="00090829">
        <w:t xml:space="preserve"> enrolled provision</w:t>
      </w:r>
      <w:r w:rsidR="001938A2">
        <w:t>s</w:t>
      </w:r>
      <w:r w:rsidR="00090829">
        <w:t xml:space="preserve"> in </w:t>
      </w:r>
      <w:r w:rsidR="00C66420">
        <w:t>equation</w:t>
      </w:r>
      <w:r w:rsidR="00090829">
        <w:t xml:space="preserve"> </w:t>
      </w:r>
      <w:proofErr w:type="gramStart"/>
      <w:r w:rsidR="00090829">
        <w:t>3 majority</w:t>
      </w:r>
      <w:proofErr w:type="gramEnd"/>
      <w:r w:rsidR="00090829">
        <w:t xml:space="preserve"> party </w:t>
      </w:r>
      <w:r w:rsidR="00BE0E15">
        <w:t xml:space="preserve">and committee chair </w:t>
      </w:r>
      <w:r w:rsidR="00090829">
        <w:t xml:space="preserve">status </w:t>
      </w:r>
      <w:r w:rsidR="001938A2">
        <w:t xml:space="preserve">for the </w:t>
      </w:r>
      <w:r w:rsidR="00090829">
        <w:t>bill</w:t>
      </w:r>
      <w:r w:rsidR="00D64BF5">
        <w:t>’s</w:t>
      </w:r>
      <w:r w:rsidR="00BE0E15">
        <w:t xml:space="preserve"> author </w:t>
      </w:r>
      <w:r w:rsidR="00090829">
        <w:t xml:space="preserve">lose significance. Though </w:t>
      </w:r>
      <w:r w:rsidR="00BE0E15">
        <w:t xml:space="preserve">these variables </w:t>
      </w:r>
      <w:r w:rsidR="00090829">
        <w:t>predict</w:t>
      </w:r>
      <w:r w:rsidR="00BE0E15">
        <w:t xml:space="preserve"> </w:t>
      </w:r>
      <w:r w:rsidR="00090829">
        <w:t>legislative advancement</w:t>
      </w:r>
      <w:r w:rsidR="00BE0E15">
        <w:t xml:space="preserve"> in equations 1 and 2</w:t>
      </w:r>
      <w:r w:rsidR="00090829">
        <w:t xml:space="preserve">, </w:t>
      </w:r>
      <w:r w:rsidR="00BE0E15">
        <w:t>they</w:t>
      </w:r>
      <w:r w:rsidR="00090829">
        <w:t xml:space="preserve"> </w:t>
      </w:r>
      <w:r w:rsidR="008E0B4D">
        <w:t xml:space="preserve">offer </w:t>
      </w:r>
      <w:r w:rsidR="00090829">
        <w:t xml:space="preserve">little to distinguish the legislative vehicles for </w:t>
      </w:r>
      <w:r w:rsidR="00A81B0A">
        <w:t xml:space="preserve">multiple </w:t>
      </w:r>
      <w:r w:rsidR="00090829">
        <w:t>threatened provisions from other bills eventually</w:t>
      </w:r>
      <w:r w:rsidR="00BE0E15">
        <w:t xml:space="preserve"> enrolled.</w:t>
      </w:r>
      <w:r w:rsidR="00090829">
        <w:t xml:space="preserve">  </w:t>
      </w:r>
      <w:r w:rsidR="00090829">
        <w:rPr>
          <w:color w:val="FF0000"/>
        </w:rPr>
        <w:t xml:space="preserve"> </w:t>
      </w:r>
    </w:p>
    <w:p w:rsidR="0032673C" w:rsidRPr="00B82236" w:rsidRDefault="0032673C" w:rsidP="0032673C">
      <w:pPr>
        <w:rPr>
          <w:color w:val="FF0000"/>
        </w:rPr>
      </w:pPr>
      <w:r>
        <w:t xml:space="preserve">In targeting bills they judge likely to become enrolled, presidents seek a more palatable choice later. Drawing on the specification in </w:t>
      </w:r>
      <w:r w:rsidR="00C66420">
        <w:t>Equation</w:t>
      </w:r>
      <w:r>
        <w:t xml:space="preserve"> 1, Table</w:t>
      </w:r>
      <w:r w:rsidR="00E72FC6">
        <w:t xml:space="preserve"> 2</w:t>
      </w:r>
      <w:r>
        <w:t>, we test</w:t>
      </w:r>
      <w:r w:rsidRPr="009455F1">
        <w:t xml:space="preserve"> for the pre</w:t>
      </w:r>
      <w:r>
        <w:t>sence of</w:t>
      </w:r>
      <w:r w:rsidRPr="009455F1">
        <w:t xml:space="preserve"> </w:t>
      </w:r>
      <w:r>
        <w:t xml:space="preserve">endogenous veto threats by specifying an </w:t>
      </w:r>
      <w:r w:rsidRPr="00F53BB7">
        <w:t>instrumental</w:t>
      </w:r>
      <w:r>
        <w:t xml:space="preserve"> variable </w:t>
      </w:r>
      <w:proofErr w:type="spellStart"/>
      <w:r>
        <w:t>probit</w:t>
      </w:r>
      <w:proofErr w:type="spellEnd"/>
      <w:r>
        <w:t xml:space="preserve"> model.  The </w:t>
      </w:r>
      <w:r w:rsidR="001938A2">
        <w:t xml:space="preserve">possible presence </w:t>
      </w:r>
      <w:r>
        <w:t xml:space="preserve">of </w:t>
      </w:r>
      <w:r w:rsidR="001938A2">
        <w:t xml:space="preserve">endogenous </w:t>
      </w:r>
      <w:proofErr w:type="spellStart"/>
      <w:r w:rsidR="001938A2">
        <w:t>regressor</w:t>
      </w:r>
      <w:proofErr w:type="spellEnd"/>
      <w:r>
        <w:t xml:space="preserve"> </w:t>
      </w:r>
      <w:r w:rsidR="001938A2">
        <w:t>poses</w:t>
      </w:r>
      <w:r>
        <w:t xml:space="preserve"> a serious </w:t>
      </w:r>
      <w:r w:rsidR="001938A2">
        <w:t>issue</w:t>
      </w:r>
      <w:r>
        <w:t xml:space="preserve"> in that presidents are sophisticated actors who might </w:t>
      </w:r>
      <w:r w:rsidR="001938A2">
        <w:t>be tempted to th</w:t>
      </w:r>
      <w:r>
        <w:t xml:space="preserve">reaten bills likely to fail in order to claim credit for their demise. Following </w:t>
      </w:r>
      <w:proofErr w:type="spellStart"/>
      <w:r>
        <w:t>Newey</w:t>
      </w:r>
      <w:proofErr w:type="spellEnd"/>
      <w:r>
        <w:t xml:space="preserve"> (1987) a </w:t>
      </w:r>
      <w:r w:rsidRPr="009455F1">
        <w:t xml:space="preserve">Wald test of </w:t>
      </w:r>
      <w:proofErr w:type="spellStart"/>
      <w:r w:rsidRPr="009455F1">
        <w:t>exogeneity</w:t>
      </w:r>
      <w:proofErr w:type="spellEnd"/>
      <w:r w:rsidRPr="009455F1">
        <w:t xml:space="preserve"> does not reject the null hypothesis that threat selection is exogenous.</w:t>
      </w:r>
      <w:r>
        <w:t xml:space="preserve"> </w:t>
      </w:r>
      <w:r w:rsidR="001938A2">
        <w:t>(</w:t>
      </w:r>
      <w:r w:rsidRPr="005335D5">
        <w:t xml:space="preserve">For the full results of this analysis, see </w:t>
      </w:r>
      <w:r w:rsidR="00CE2BCB">
        <w:t>the s</w:t>
      </w:r>
      <w:r w:rsidRPr="005335D5">
        <w:t xml:space="preserve">upplementary </w:t>
      </w:r>
      <w:r w:rsidR="009F3D64">
        <w:rPr>
          <w:rFonts w:eastAsiaTheme="minorHAnsi"/>
        </w:rPr>
        <w:t>materials</w:t>
      </w:r>
      <w:r w:rsidR="00AD4E2C">
        <w:t>.</w:t>
      </w:r>
      <w:r w:rsidR="001938A2">
        <w:t>)</w:t>
      </w:r>
      <w:r>
        <w:rPr>
          <w:color w:val="FF0000"/>
        </w:rPr>
        <w:t xml:space="preserve"> </w:t>
      </w:r>
    </w:p>
    <w:p w:rsidR="00C90BFB" w:rsidRDefault="00C90BFB" w:rsidP="00C90BFB">
      <w:pPr>
        <w:pStyle w:val="Heading2"/>
      </w:pPr>
      <w:r>
        <w:rPr>
          <w:rFonts w:eastAsiaTheme="minorHAnsi"/>
        </w:rPr>
        <w:tab/>
        <w:t>V. Findings</w:t>
      </w:r>
      <w:r w:rsidRPr="004B48B8">
        <w:t xml:space="preserve"> </w:t>
      </w:r>
    </w:p>
    <w:p w:rsidR="00C90BFB" w:rsidRDefault="00C90BFB" w:rsidP="00C90BFB">
      <w:r>
        <w:t xml:space="preserve">The findings </w:t>
      </w:r>
      <w:r w:rsidR="00F1190E">
        <w:t>confirm the predictions that</w:t>
      </w:r>
      <w:r>
        <w:t xml:space="preserve"> veto threat</w:t>
      </w:r>
      <w:r w:rsidR="00D02F90">
        <w:t xml:space="preserve"> bargaining</w:t>
      </w:r>
      <w:r>
        <w:t xml:space="preserve"> substantially shap</w:t>
      </w:r>
      <w:r w:rsidR="00F1190E">
        <w:t>es</w:t>
      </w:r>
      <w:r>
        <w:t xml:space="preserve"> both </w:t>
      </w:r>
      <w:r w:rsidR="00E36E70">
        <w:t>the</w:t>
      </w:r>
      <w:r w:rsidR="00590194">
        <w:t xml:space="preserve"> </w:t>
      </w:r>
      <w:r>
        <w:t xml:space="preserve">content of </w:t>
      </w:r>
      <w:r w:rsidR="00F1190E">
        <w:t>legislation</w:t>
      </w:r>
      <w:r w:rsidR="00E36E70">
        <w:t xml:space="preserve"> and the process that produces </w:t>
      </w:r>
      <w:r w:rsidR="00C84E7D">
        <w:t>it</w:t>
      </w:r>
      <w:r>
        <w:t xml:space="preserve">. </w:t>
      </w:r>
      <w:r w:rsidR="008B55E0">
        <w:t xml:space="preserve">The </w:t>
      </w:r>
      <w:r w:rsidR="00BE57AB">
        <w:t xml:space="preserve">chambers’ </w:t>
      </w:r>
      <w:r w:rsidR="00F1190E">
        <w:t>dissimilar level</w:t>
      </w:r>
      <w:r w:rsidR="00C84E7D">
        <w:t>s</w:t>
      </w:r>
      <w:r w:rsidR="00F1190E">
        <w:t xml:space="preserve"> of </w:t>
      </w:r>
      <w:r w:rsidR="00445094">
        <w:t xml:space="preserve">control over floor proceedings </w:t>
      </w:r>
      <w:r w:rsidR="00C84E7D">
        <w:t xml:space="preserve">are key for accounting for the impact of veto threats </w:t>
      </w:r>
      <w:r w:rsidR="00445094">
        <w:t>at</w:t>
      </w:r>
      <w:r w:rsidR="00C84E7D">
        <w:t xml:space="preserve"> each stage of deliberations</w:t>
      </w:r>
      <w:r w:rsidR="00E36E70">
        <w:t>.</w:t>
      </w:r>
      <w:r>
        <w:t xml:space="preserve"> </w:t>
      </w:r>
      <w:r w:rsidR="00AC0B9F">
        <w:t xml:space="preserve">As </w:t>
      </w:r>
      <w:r w:rsidR="00AB3F57">
        <w:t xml:space="preserve">legislators and presidents anticipate </w:t>
      </w:r>
      <w:r w:rsidR="00C66420">
        <w:t>the chambers’ likely actions on a bill</w:t>
      </w:r>
      <w:r w:rsidR="00AB3F57">
        <w:t xml:space="preserve">, they </w:t>
      </w:r>
      <w:r w:rsidR="00C66420">
        <w:t xml:space="preserve">may reroute deliberations of veto threatened bills down </w:t>
      </w:r>
      <w:r w:rsidR="00AB3F57">
        <w:t xml:space="preserve">distinct legislative </w:t>
      </w:r>
      <w:r w:rsidR="00C66420">
        <w:t>paths</w:t>
      </w:r>
      <w:r w:rsidR="00AB3F57">
        <w:t xml:space="preserve"> we refer to as haggles. </w:t>
      </w:r>
    </w:p>
    <w:p w:rsidR="00C90BFB" w:rsidRPr="00C80A9B" w:rsidRDefault="00C90BFB" w:rsidP="00C90BFB">
      <w:pPr>
        <w:pStyle w:val="Heading3"/>
        <w:framePr w:wrap="auto" w:vAnchor="margin" w:yAlign="inline"/>
      </w:pPr>
      <w:r w:rsidRPr="00E535A7">
        <w:t>House</w:t>
      </w:r>
      <w:r>
        <w:t xml:space="preserve"> of Representatives</w:t>
      </w:r>
    </w:p>
    <w:p w:rsidR="00C90BFB" w:rsidRPr="005639F5" w:rsidRDefault="00C90BFB" w:rsidP="00DD5136">
      <w:pPr>
        <w:pStyle w:val="referencessinglespaceinternal"/>
      </w:pPr>
      <w:r w:rsidRPr="005639F5">
        <w:rPr>
          <w:i/>
          <w:iCs/>
        </w:rPr>
        <w:t>1A:</w:t>
      </w:r>
      <w:r w:rsidRPr="005639F5">
        <w:t xml:space="preserve"> The House Rules Committee responds to veto threats by adding closed and restrictive rules. </w:t>
      </w:r>
    </w:p>
    <w:p w:rsidR="00C90BFB" w:rsidRDefault="00C90BFB" w:rsidP="008517CC">
      <w:r>
        <w:t>A</w:t>
      </w:r>
      <w:r w:rsidR="000524B4">
        <w:t>mong other things, a</w:t>
      </w:r>
      <w:r>
        <w:t xml:space="preserve"> House rule </w:t>
      </w:r>
      <w:r w:rsidR="000524B4">
        <w:t>sets</w:t>
      </w:r>
      <w:r>
        <w:t xml:space="preserve"> the allowable number and substance of floor amendments</w:t>
      </w:r>
      <w:r w:rsidR="000524B4">
        <w:t>. Closed and restrictive rules</w:t>
      </w:r>
      <w:r>
        <w:t xml:space="preserve"> </w:t>
      </w:r>
      <w:r w:rsidR="000524B4">
        <w:t>are</w:t>
      </w:r>
      <w:r>
        <w:t xml:space="preserve"> arguably the strongest tool available to the House majority to protect its policies from </w:t>
      </w:r>
      <w:r w:rsidR="000524B4">
        <w:t>being rolled by the</w:t>
      </w:r>
      <w:r>
        <w:t xml:space="preserve"> opposition (</w:t>
      </w:r>
      <w:r w:rsidR="000524B4">
        <w:t xml:space="preserve">Cox and </w:t>
      </w:r>
      <w:proofErr w:type="spellStart"/>
      <w:r w:rsidR="000524B4">
        <w:t>McCubbins</w:t>
      </w:r>
      <w:proofErr w:type="spellEnd"/>
      <w:r w:rsidR="000524B4">
        <w:t xml:space="preserve"> 2005; </w:t>
      </w:r>
      <w:r>
        <w:t xml:space="preserve">Monroe </w:t>
      </w:r>
      <w:r w:rsidR="00FE27AC">
        <w:t>and</w:t>
      </w:r>
      <w:r>
        <w:t xml:space="preserve"> Robinson 20</w:t>
      </w:r>
      <w:r w:rsidR="00B91E08">
        <w:t>08</w:t>
      </w:r>
      <w:r>
        <w:t>). As a result, the rule attached to a veto threatened bill strike at the heart of a president’s ability to pry concessions on the floor.</w:t>
      </w:r>
    </w:p>
    <w:p w:rsidR="00C90BFB" w:rsidRDefault="00C90BFB" w:rsidP="00C90BFB">
      <w:r>
        <w:t xml:space="preserve">Over the years the House Rules Committee’s </w:t>
      </w:r>
      <w:r w:rsidR="00B91E08">
        <w:t xml:space="preserve">definition of its </w:t>
      </w:r>
      <w:r>
        <w:t xml:space="preserve">classification of its </w:t>
      </w:r>
      <w:r w:rsidR="00B91E08">
        <w:t>rules</w:t>
      </w:r>
      <w:r>
        <w:t xml:space="preserve"> has changed – the tighter they have become, the looser they appear</w:t>
      </w:r>
      <w:r w:rsidR="00B91E08">
        <w:t xml:space="preserve">. </w:t>
      </w:r>
      <w:r>
        <w:t xml:space="preserve">Fortunately, Owens and his colleagues (Owens and </w:t>
      </w:r>
      <w:proofErr w:type="spellStart"/>
      <w:r>
        <w:t>Wrighton</w:t>
      </w:r>
      <w:proofErr w:type="spellEnd"/>
      <w:r>
        <w:t xml:space="preserve"> 2007) have </w:t>
      </w:r>
      <w:r w:rsidR="00B91E08">
        <w:t>reclassified</w:t>
      </w:r>
      <w:r>
        <w:t xml:space="preserve"> many of the bills analyzed here</w:t>
      </w:r>
      <w:r w:rsidR="00A81B0A">
        <w:t xml:space="preserve"> using a standardized classification system</w:t>
      </w:r>
      <w:r>
        <w:t xml:space="preserve">. </w:t>
      </w:r>
      <w:r w:rsidR="00B91E08">
        <w:t xml:space="preserve">We employ their data where available and </w:t>
      </w:r>
      <w:r w:rsidR="00176335">
        <w:t>apply</w:t>
      </w:r>
      <w:r w:rsidR="00B91E08">
        <w:t xml:space="preserve"> their six</w:t>
      </w:r>
      <w:r w:rsidR="00176335">
        <w:t>-</w:t>
      </w:r>
      <w:r w:rsidR="00B91E08">
        <w:t xml:space="preserve">category </w:t>
      </w:r>
      <w:r w:rsidR="0013564A">
        <w:t>definition to</w:t>
      </w:r>
      <w:r w:rsidR="00B91E08">
        <w:t xml:space="preserve"> classify </w:t>
      </w:r>
      <w:r w:rsidR="009700C2">
        <w:t>more recent</w:t>
      </w:r>
      <w:r w:rsidR="00B91E08">
        <w:t xml:space="preserve"> </w:t>
      </w:r>
      <w:r w:rsidR="009700C2">
        <w:t>rules resolutions</w:t>
      </w:r>
      <w:r>
        <w:t xml:space="preserve">. </w:t>
      </w:r>
      <w:r w:rsidR="00930297">
        <w:t xml:space="preserve"> </w:t>
      </w:r>
      <w:r w:rsidR="009700C2">
        <w:t>Th</w:t>
      </w:r>
      <w:r w:rsidR="0004040F">
        <w:t>e distribution</w:t>
      </w:r>
      <w:r>
        <w:t xml:space="preserve"> of ru</w:t>
      </w:r>
      <w:r w:rsidR="00A81B0A">
        <w:t>le types for threatened and un</w:t>
      </w:r>
      <w:r>
        <w:t>threatened legislation</w:t>
      </w:r>
      <w:r w:rsidR="00930297">
        <w:t xml:space="preserve"> in Figure </w:t>
      </w:r>
      <w:r w:rsidR="00F66A08">
        <w:t>3</w:t>
      </w:r>
      <w:r w:rsidR="0004040F">
        <w:t xml:space="preserve"> </w:t>
      </w:r>
      <w:r w:rsidR="009700C2">
        <w:t xml:space="preserve">clearly </w:t>
      </w:r>
      <w:r w:rsidR="00176335">
        <w:t>supports</w:t>
      </w:r>
      <w:r w:rsidR="0004040F">
        <w:t xml:space="preserve"> </w:t>
      </w:r>
      <w:r w:rsidR="0004040F" w:rsidRPr="0004040F">
        <w:rPr>
          <w:i/>
        </w:rPr>
        <w:t>1A</w:t>
      </w:r>
      <w:r w:rsidR="0004040F">
        <w:t>’s prediction</w:t>
      </w:r>
      <w:r w:rsidR="00930297">
        <w:t xml:space="preserve"> </w:t>
      </w:r>
      <w:r w:rsidR="0004040F">
        <w:t xml:space="preserve">that </w:t>
      </w:r>
      <w:r w:rsidR="00176335">
        <w:t xml:space="preserve">veto threats prompt </w:t>
      </w:r>
      <w:r w:rsidR="0004040F">
        <w:t xml:space="preserve">opposition majorities </w:t>
      </w:r>
      <w:r w:rsidR="00176335">
        <w:t xml:space="preserve">to </w:t>
      </w:r>
      <w:r w:rsidR="009700C2">
        <w:t>tighten</w:t>
      </w:r>
      <w:r w:rsidR="00176335">
        <w:t xml:space="preserve"> control over </w:t>
      </w:r>
      <w:r w:rsidR="0004040F">
        <w:t xml:space="preserve">floor </w:t>
      </w:r>
      <w:r w:rsidR="009700C2">
        <w:t>action</w:t>
      </w:r>
      <w:r w:rsidR="0004040F">
        <w:t xml:space="preserve">. </w:t>
      </w:r>
    </w:p>
    <w:p w:rsidR="00C90BFB" w:rsidRDefault="00AC095F" w:rsidP="00C90BFB">
      <w:pPr>
        <w:jc w:val="center"/>
      </w:pPr>
      <w:r>
        <w:t>[</w:t>
      </w:r>
      <w:r w:rsidR="00C90BFB">
        <w:t xml:space="preserve">Figure </w:t>
      </w:r>
      <w:r w:rsidR="00F66A08">
        <w:t>3</w:t>
      </w:r>
      <w:r w:rsidR="00C90BFB">
        <w:t xml:space="preserve"> here</w:t>
      </w:r>
      <w:r>
        <w:t>]</w:t>
      </w:r>
    </w:p>
    <w:p w:rsidR="00176335" w:rsidRDefault="000524B4" w:rsidP="00C90BFB">
      <w:r>
        <w:t>In a preliminary</w:t>
      </w:r>
      <w:r w:rsidR="00A104A5">
        <w:t xml:space="preserve"> analysis</w:t>
      </w:r>
      <w:r w:rsidR="009F3D64">
        <w:t xml:space="preserve"> (reported in the supplementary </w:t>
      </w:r>
      <w:r w:rsidR="009F3D64">
        <w:rPr>
          <w:rFonts w:eastAsiaTheme="minorHAnsi"/>
        </w:rPr>
        <w:t>materials</w:t>
      </w:r>
      <w:r w:rsidR="009F3D64">
        <w:t>)</w:t>
      </w:r>
      <w:r w:rsidR="00A104A5">
        <w:t>, we determined that little information is lost by collapsing</w:t>
      </w:r>
      <w:r w:rsidR="009700C2">
        <w:t xml:space="preserve"> the six categories into a binar</w:t>
      </w:r>
      <w:r w:rsidR="00AA4430">
        <w:t xml:space="preserve">y </w:t>
      </w:r>
      <w:r w:rsidR="009B00CC">
        <w:t xml:space="preserve">variable that </w:t>
      </w:r>
      <w:r w:rsidR="00A104A5">
        <w:t>distinguishes</w:t>
      </w:r>
      <w:r w:rsidR="009B00CC">
        <w:t xml:space="preserve"> those</w:t>
      </w:r>
      <w:r w:rsidR="00AA4430">
        <w:t xml:space="preserve"> </w:t>
      </w:r>
      <w:r w:rsidR="009F3D64">
        <w:t>rules that either outright prohibit or severely restrict the ability</w:t>
      </w:r>
      <w:r w:rsidR="00A104A5">
        <w:t xml:space="preserve"> </w:t>
      </w:r>
      <w:r w:rsidR="009700C2">
        <w:t xml:space="preserve">to modify legislation </w:t>
      </w:r>
      <w:r w:rsidR="00A104A5">
        <w:t>through</w:t>
      </w:r>
      <w:r w:rsidR="009700C2">
        <w:t xml:space="preserve"> floor</w:t>
      </w:r>
      <w:r w:rsidR="00A104A5">
        <w:t xml:space="preserve"> amendments versus all other rules (</w:t>
      </w:r>
      <w:r w:rsidR="00006FBD">
        <w:t>and</w:t>
      </w:r>
      <w:r w:rsidR="00A104A5">
        <w:t xml:space="preserve"> the absence of a rule)</w:t>
      </w:r>
      <w:r w:rsidR="009700C2">
        <w:t>.</w:t>
      </w:r>
      <w:r w:rsidR="00006FBD">
        <w:t xml:space="preserve"> </w:t>
      </w:r>
      <w:r w:rsidR="006C2FD6">
        <w:t xml:space="preserve">The statistical relationships in </w:t>
      </w:r>
      <w:r w:rsidR="00C66420">
        <w:t>equation</w:t>
      </w:r>
      <w:r w:rsidR="00A03160">
        <w:t xml:space="preserve">s 1-3 of </w:t>
      </w:r>
      <w:r w:rsidR="00E72FC6">
        <w:t>Table 3</w:t>
      </w:r>
      <w:r w:rsidR="006C2FD6">
        <w:t xml:space="preserve"> </w:t>
      </w:r>
      <w:r w:rsidR="00AD2DC6">
        <w:t xml:space="preserve">demonstrate that the House is more likely to bring legislation to the floor under </w:t>
      </w:r>
      <w:r w:rsidR="00A104A5">
        <w:t>a</w:t>
      </w:r>
      <w:r w:rsidR="00E652D0">
        <w:t xml:space="preserve"> restrictive rule</w:t>
      </w:r>
      <w:r w:rsidR="00AD2DC6">
        <w:t xml:space="preserve"> when </w:t>
      </w:r>
      <w:r w:rsidR="00A104A5">
        <w:t>the president has issued</w:t>
      </w:r>
      <w:r w:rsidR="00AD2DC6">
        <w:t xml:space="preserve"> a veto threat.</w:t>
      </w:r>
      <w:r w:rsidR="00C90BFB">
        <w:t xml:space="preserve"> Whether examining all enrolled bills </w:t>
      </w:r>
      <w:r w:rsidR="006C2FD6">
        <w:t>(</w:t>
      </w:r>
      <w:r w:rsidR="00C66420">
        <w:t>equation</w:t>
      </w:r>
      <w:r w:rsidR="006C2FD6">
        <w:t xml:space="preserve"> 1) </w:t>
      </w:r>
      <w:r w:rsidR="00C90BFB">
        <w:t xml:space="preserve">or the matched </w:t>
      </w:r>
      <w:r w:rsidR="00E652D0">
        <w:t xml:space="preserve">sample </w:t>
      </w:r>
      <w:r w:rsidR="006C2FD6">
        <w:t>(</w:t>
      </w:r>
      <w:r w:rsidR="00C66420">
        <w:t>equation</w:t>
      </w:r>
      <w:r w:rsidR="00A03160">
        <w:t xml:space="preserve"> </w:t>
      </w:r>
      <w:r w:rsidR="006C2FD6">
        <w:t>2)</w:t>
      </w:r>
      <w:r w:rsidR="00C90BFB">
        <w:t xml:space="preserve">, the House </w:t>
      </w:r>
      <w:r w:rsidR="00A104A5">
        <w:t xml:space="preserve">appears to </w:t>
      </w:r>
      <w:r w:rsidR="00445094">
        <w:t>curb</w:t>
      </w:r>
      <w:r w:rsidR="00C90BFB">
        <w:t xml:space="preserve"> presidents’ </w:t>
      </w:r>
      <w:r w:rsidR="00BE57AB">
        <w:t xml:space="preserve">efforts </w:t>
      </w:r>
      <w:r w:rsidR="00C90BFB">
        <w:t>(</w:t>
      </w:r>
      <w:r w:rsidR="00E652D0">
        <w:t>via</w:t>
      </w:r>
      <w:r w:rsidR="00C90BFB">
        <w:t xml:space="preserve"> their </w:t>
      </w:r>
      <w:r w:rsidR="00E652D0">
        <w:t xml:space="preserve">legislative </w:t>
      </w:r>
      <w:r w:rsidR="00C90BFB">
        <w:t xml:space="preserve">allies’) to </w:t>
      </w:r>
      <w:r w:rsidR="00E652D0">
        <w:t>moderate</w:t>
      </w:r>
      <w:r w:rsidR="00C90BFB">
        <w:t xml:space="preserve"> </w:t>
      </w:r>
      <w:r w:rsidR="00E652D0">
        <w:t>threatened provisions on the chamber floor</w:t>
      </w:r>
      <w:r w:rsidR="00C90BFB">
        <w:t xml:space="preserve">. </w:t>
      </w:r>
    </w:p>
    <w:p w:rsidR="00C90BFB" w:rsidRDefault="00C90BFB" w:rsidP="00C90BFB">
      <w:r>
        <w:t>Adding a dummy variable</w:t>
      </w:r>
      <w:r w:rsidR="00A104A5">
        <w:t xml:space="preserve"> (equation 3)</w:t>
      </w:r>
      <w:r>
        <w:t xml:space="preserve"> </w:t>
      </w:r>
      <w:r w:rsidR="00E652D0">
        <w:t>to indicate</w:t>
      </w:r>
      <w:r>
        <w:t xml:space="preserve"> th</w:t>
      </w:r>
      <w:r w:rsidR="00A104A5">
        <w:t>os</w:t>
      </w:r>
      <w:r>
        <w:t xml:space="preserve">e </w:t>
      </w:r>
      <w:r w:rsidR="00A104A5">
        <w:t>bills for which the president issued an une</w:t>
      </w:r>
      <w:r>
        <w:t xml:space="preserve">quivocal “will veto” </w:t>
      </w:r>
      <w:r w:rsidR="00F54AAB">
        <w:t xml:space="preserve">appears to prompt the House to increase the </w:t>
      </w:r>
      <w:r w:rsidR="00E652D0">
        <w:t xml:space="preserve">likelihood </w:t>
      </w:r>
      <w:r w:rsidR="00F54AAB">
        <w:t>of cutting off floor amendments</w:t>
      </w:r>
      <w:r>
        <w:t xml:space="preserve">. </w:t>
      </w:r>
      <w:r w:rsidR="00E652D0">
        <w:t xml:space="preserve">The effect is best illustrated </w:t>
      </w:r>
      <w:r>
        <w:t xml:space="preserve">in Figure </w:t>
      </w:r>
      <w:r w:rsidR="005B0524">
        <w:t>4</w:t>
      </w:r>
      <w:r w:rsidR="000269F5">
        <w:t>A</w:t>
      </w:r>
      <w:r w:rsidR="00E652D0">
        <w:t>,</w:t>
      </w:r>
      <w:r w:rsidR="00387192">
        <w:t xml:space="preserve"> </w:t>
      </w:r>
      <w:r>
        <w:t xml:space="preserve">which converts the </w:t>
      </w:r>
      <w:r w:rsidR="00387192">
        <w:t>coefficients</w:t>
      </w:r>
      <w:r>
        <w:t xml:space="preserve"> in T</w:t>
      </w:r>
      <w:r w:rsidR="00E72FC6">
        <w:t>able 3</w:t>
      </w:r>
      <w:r>
        <w:t xml:space="preserve">, </w:t>
      </w:r>
      <w:r w:rsidR="00C66420">
        <w:t>equation</w:t>
      </w:r>
      <w:r>
        <w:t xml:space="preserve"> 3 into marginal probabilities. A veto threat increases by </w:t>
      </w:r>
      <w:r w:rsidRPr="00E652D0">
        <w:t>60</w:t>
      </w:r>
      <w:r>
        <w:t xml:space="preserve"> percentage points the probability that the bill will go to the floor with a closed or restrictive rule; the marginal effects show a near universal response to a “will veto” threat with restrictive rules. </w:t>
      </w:r>
      <w:r w:rsidR="00B305CA">
        <w:t xml:space="preserve"> </w:t>
      </w:r>
      <w:r w:rsidR="004B0E99">
        <w:t xml:space="preserve">The posturing of these </w:t>
      </w:r>
      <w:r w:rsidR="00702439">
        <w:t xml:space="preserve">opposing veto </w:t>
      </w:r>
      <w:r w:rsidR="004B0E99">
        <w:t>actors appears to set the legislation on a course of deadlock, and yet all of these bills eventually become enrolled and the majority signed into law.</w:t>
      </w:r>
    </w:p>
    <w:p w:rsidR="00C90BFB" w:rsidRDefault="00AC095F" w:rsidP="00C90BFB">
      <w:pPr>
        <w:jc w:val="center"/>
      </w:pPr>
      <w:r>
        <w:t>[</w:t>
      </w:r>
      <w:r w:rsidR="00E72FC6">
        <w:t>Table 3</w:t>
      </w:r>
      <w:r w:rsidR="00F66A08">
        <w:t xml:space="preserve"> </w:t>
      </w:r>
      <w:r w:rsidR="005B0524">
        <w:t>and Figure 4 here</w:t>
      </w:r>
      <w:r>
        <w:t>]</w:t>
      </w:r>
    </w:p>
    <w:p w:rsidR="00C90BFB" w:rsidRDefault="00C90BFB" w:rsidP="00C04B61">
      <w:pPr>
        <w:pStyle w:val="Heading3"/>
        <w:framePr w:wrap="around"/>
      </w:pPr>
      <w:r>
        <w:t>Senate</w:t>
      </w:r>
    </w:p>
    <w:p w:rsidR="00C04B61" w:rsidRDefault="00C04B61" w:rsidP="00C04B61">
      <w:pPr>
        <w:pStyle w:val="referencessinglespaceinternal"/>
      </w:pPr>
    </w:p>
    <w:p w:rsidR="00C04B61" w:rsidRPr="005639F5" w:rsidRDefault="00C04B61" w:rsidP="00C04B61">
      <w:pPr>
        <w:pStyle w:val="referencessinglespaceinternal"/>
      </w:pPr>
    </w:p>
    <w:p w:rsidR="008517CC" w:rsidRDefault="008517CC" w:rsidP="008517CC">
      <w:pPr>
        <w:pStyle w:val="referencessinglespaceinternal"/>
      </w:pPr>
      <w:r>
        <w:rPr>
          <w:i/>
        </w:rPr>
        <w:t>1B</w:t>
      </w:r>
      <w:r w:rsidRPr="005639F5">
        <w:rPr>
          <w:i/>
        </w:rPr>
        <w:t xml:space="preserve">: </w:t>
      </w:r>
      <w:r w:rsidRPr="005639F5">
        <w:t xml:space="preserve">Veto threats trigger filibuster threats. </w:t>
      </w:r>
    </w:p>
    <w:p w:rsidR="00C04B61" w:rsidRPr="00D61C5B" w:rsidRDefault="00C04B61" w:rsidP="00C04B61">
      <w:pPr>
        <w:pStyle w:val="referencessinglespaceinternal"/>
      </w:pPr>
    </w:p>
    <w:p w:rsidR="009F11EE" w:rsidRDefault="00C90BFB" w:rsidP="00C90BFB">
      <w:r>
        <w:t xml:space="preserve">Whereas the House </w:t>
      </w:r>
      <w:r w:rsidR="003F7A9A">
        <w:t xml:space="preserve">effectively </w:t>
      </w:r>
      <w:r>
        <w:t xml:space="preserve">restricts floor access to threatened legislation, the filibuster rule in the Senate </w:t>
      </w:r>
      <w:r w:rsidR="003F7A9A">
        <w:t xml:space="preserve">gives </w:t>
      </w:r>
      <w:r w:rsidR="00E652D0">
        <w:t>all members</w:t>
      </w:r>
      <w:r w:rsidR="003F7A9A">
        <w:t xml:space="preserve"> access to </w:t>
      </w:r>
      <w:r w:rsidR="00E652D0">
        <w:t xml:space="preserve">propose amendments on </w:t>
      </w:r>
      <w:r w:rsidR="003F7A9A">
        <w:t>the</w:t>
      </w:r>
      <w:r>
        <w:t xml:space="preserve"> </w:t>
      </w:r>
      <w:r w:rsidR="00E652D0">
        <w:t xml:space="preserve">chamber </w:t>
      </w:r>
      <w:r>
        <w:t>floor</w:t>
      </w:r>
      <w:r w:rsidR="003F7A9A">
        <w:t>. When presidents coordinate their threats with their Senate partisans, the Senate floor becomes the most</w:t>
      </w:r>
      <w:r>
        <w:t xml:space="preserve"> attractive point in the legislative process for the </w:t>
      </w:r>
      <w:r w:rsidR="003F7A9A">
        <w:t>White House</w:t>
      </w:r>
      <w:r>
        <w:t xml:space="preserve"> to extract concessions</w:t>
      </w:r>
      <w:r w:rsidR="003F7A9A">
        <w:t xml:space="preserve"> from an opposition Congress</w:t>
      </w:r>
      <w:r>
        <w:t xml:space="preserve">. </w:t>
      </w:r>
      <w:r w:rsidR="003F7A9A">
        <w:t xml:space="preserve">Prediction </w:t>
      </w:r>
      <w:r w:rsidR="00BE57AB">
        <w:rPr>
          <w:i/>
        </w:rPr>
        <w:t>1B</w:t>
      </w:r>
      <w:r w:rsidR="003F7A9A">
        <w:t xml:space="preserve"> </w:t>
      </w:r>
      <w:r w:rsidR="004C26AF">
        <w:t>argues that such party coordination is present: veto threats lead fellow partisans to issue filibuster threats. Testing this simple proposition proved tricky</w:t>
      </w:r>
      <w:r w:rsidR="00D90269">
        <w:t>,</w:t>
      </w:r>
      <w:r w:rsidR="004C26AF">
        <w:t xml:space="preserve"> largely because the minority party no longer has to physically engage in extended debate to stymie Senate </w:t>
      </w:r>
      <w:r w:rsidR="00D90269">
        <w:t>action</w:t>
      </w:r>
      <w:r w:rsidR="004C26AF">
        <w:t xml:space="preserve">. All its leaders need </w:t>
      </w:r>
      <w:r w:rsidR="004030B4">
        <w:t xml:space="preserve">to </w:t>
      </w:r>
      <w:r w:rsidR="004C26AF">
        <w:t xml:space="preserve">do is announce that they will filibuster a bill if certain provisions are not dropped.  Consequently, the </w:t>
      </w:r>
      <w:proofErr w:type="gramStart"/>
      <w:r w:rsidR="004C26AF">
        <w:t>efficacy of behind the scenes filibuster threats make</w:t>
      </w:r>
      <w:proofErr w:type="gramEnd"/>
      <w:r w:rsidR="004C26AF">
        <w:t xml:space="preserve"> this critical feature of Senate deliberations notoriously difficult to </w:t>
      </w:r>
      <w:r>
        <w:t xml:space="preserve">measure. </w:t>
      </w:r>
      <w:r w:rsidR="004C26AF">
        <w:t xml:space="preserve"> After testing several different specifications commonly found in the literature, we</w:t>
      </w:r>
      <w:r>
        <w:t xml:space="preserve"> </w:t>
      </w:r>
      <w:r w:rsidR="004C26AF">
        <w:t>settled on</w:t>
      </w:r>
      <w:r>
        <w:t xml:space="preserve"> Sinclair’s (2011) coding procedure </w:t>
      </w:r>
      <w:r w:rsidR="004C26AF">
        <w:t>for scoring those</w:t>
      </w:r>
      <w:r>
        <w:t xml:space="preserve"> filibuster threats referenced in </w:t>
      </w:r>
      <w:r w:rsidR="009F11EE">
        <w:rPr>
          <w:i/>
        </w:rPr>
        <w:t xml:space="preserve">Congressional Quarterly’s Weekly Report </w:t>
      </w:r>
      <w:r w:rsidR="009F11EE" w:rsidRPr="00D90269">
        <w:t>and</w:t>
      </w:r>
      <w:r w:rsidR="009F11EE">
        <w:rPr>
          <w:i/>
        </w:rPr>
        <w:t xml:space="preserve"> Almanacs</w:t>
      </w:r>
      <w:r>
        <w:t>.</w:t>
      </w:r>
      <w:r>
        <w:rPr>
          <w:rStyle w:val="FootnoteReference"/>
        </w:rPr>
        <w:footnoteReference w:id="24"/>
      </w:r>
      <w:r>
        <w:t xml:space="preserve"> </w:t>
      </w:r>
    </w:p>
    <w:p w:rsidR="00F163EB" w:rsidRDefault="00D90269" w:rsidP="00445094">
      <w:r>
        <w:t>The r</w:t>
      </w:r>
      <w:r w:rsidR="00615014" w:rsidRPr="0037722E">
        <w:t>esults in</w:t>
      </w:r>
      <w:r w:rsidR="00615014" w:rsidRPr="0037722E">
        <w:rPr>
          <w:b/>
        </w:rPr>
        <w:t xml:space="preserve"> </w:t>
      </w:r>
      <w:r w:rsidR="00445094">
        <w:t>e</w:t>
      </w:r>
      <w:r w:rsidR="00C66420">
        <w:t>quation</w:t>
      </w:r>
      <w:r w:rsidR="00615014">
        <w:t>s</w:t>
      </w:r>
      <w:r w:rsidR="00615014" w:rsidRPr="00F53BB7">
        <w:t xml:space="preserve"> </w:t>
      </w:r>
      <w:r w:rsidR="00445094">
        <w:t>4</w:t>
      </w:r>
      <w:r w:rsidR="00615014" w:rsidRPr="00F53BB7">
        <w:t xml:space="preserve"> </w:t>
      </w:r>
      <w:r w:rsidR="00615014">
        <w:t xml:space="preserve">and </w:t>
      </w:r>
      <w:r w:rsidR="00445094">
        <w:t>5</w:t>
      </w:r>
      <w:r w:rsidR="00615014" w:rsidRPr="00F53BB7">
        <w:t xml:space="preserve"> </w:t>
      </w:r>
      <w:r w:rsidR="00615014">
        <w:t xml:space="preserve">of </w:t>
      </w:r>
      <w:r w:rsidR="00615014" w:rsidRPr="00715F17">
        <w:t xml:space="preserve">Table </w:t>
      </w:r>
      <w:r w:rsidR="00E72FC6">
        <w:t>3</w:t>
      </w:r>
      <w:r w:rsidR="00615014">
        <w:t xml:space="preserve"> </w:t>
      </w:r>
      <w:r>
        <w:t>uniformly</w:t>
      </w:r>
      <w:r w:rsidR="00615014">
        <w:t xml:space="preserve"> confirm hypothesis </w:t>
      </w:r>
      <w:r w:rsidR="00445094">
        <w:rPr>
          <w:i/>
        </w:rPr>
        <w:t>1B</w:t>
      </w:r>
      <w:r>
        <w:t>. For both all enrolled bills and our matched sample,</w:t>
      </w:r>
      <w:r w:rsidR="00615014" w:rsidRPr="0037722E">
        <w:t xml:space="preserve"> </w:t>
      </w:r>
      <w:r>
        <w:t xml:space="preserve">those </w:t>
      </w:r>
      <w:r w:rsidR="00615014" w:rsidRPr="0037722E">
        <w:t>bill</w:t>
      </w:r>
      <w:r>
        <w:t>s</w:t>
      </w:r>
      <w:r w:rsidR="00615014" w:rsidRPr="0037722E">
        <w:t xml:space="preserve"> contain</w:t>
      </w:r>
      <w:r w:rsidR="00615014">
        <w:t>ing</w:t>
      </w:r>
      <w:r w:rsidR="00615014" w:rsidRPr="0037722E">
        <w:t xml:space="preserve"> threatened provision</w:t>
      </w:r>
      <w:r w:rsidR="00615014">
        <w:t xml:space="preserve">s </w:t>
      </w:r>
      <w:r>
        <w:t>are</w:t>
      </w:r>
      <w:r w:rsidR="00615014">
        <w:t xml:space="preserve"> significantly more likely to</w:t>
      </w:r>
      <w:r w:rsidR="00615014" w:rsidRPr="0037722E">
        <w:t xml:space="preserve"> </w:t>
      </w:r>
      <w:r>
        <w:t>attract</w:t>
      </w:r>
      <w:r w:rsidR="00615014">
        <w:t xml:space="preserve"> a </w:t>
      </w:r>
      <w:r w:rsidR="00615014" w:rsidRPr="0037722E">
        <w:t>filibuster</w:t>
      </w:r>
      <w:r w:rsidR="00615014">
        <w:t xml:space="preserve"> threat. A veto threat increases the marginal likelihood of a filibuster by roughly </w:t>
      </w:r>
      <w:r w:rsidR="00752376">
        <w:t>25</w:t>
      </w:r>
      <w:r w:rsidR="00615014">
        <w:t xml:space="preserve"> </w:t>
      </w:r>
      <w:r w:rsidR="005C65A9">
        <w:t xml:space="preserve">and </w:t>
      </w:r>
      <w:r w:rsidR="00752376" w:rsidRPr="00752376">
        <w:t>22</w:t>
      </w:r>
      <w:r w:rsidR="005C65A9">
        <w:t xml:space="preserve"> </w:t>
      </w:r>
      <w:r w:rsidR="00615014">
        <w:t xml:space="preserve">percentage points in </w:t>
      </w:r>
      <w:r>
        <w:t>equation</w:t>
      </w:r>
      <w:r w:rsidR="005C65A9">
        <w:t>s</w:t>
      </w:r>
      <w:r>
        <w:t xml:space="preserve"> </w:t>
      </w:r>
      <w:r w:rsidR="00615014">
        <w:t>4</w:t>
      </w:r>
      <w:r w:rsidR="005C65A9">
        <w:t xml:space="preserve"> and 5, respectively. </w:t>
      </w:r>
      <w:r w:rsidR="0038636C">
        <w:t>T</w:t>
      </w:r>
      <w:r w:rsidR="00615014">
        <w:t xml:space="preserve">he </w:t>
      </w:r>
      <w:r w:rsidR="005C65A9">
        <w:t xml:space="preserve">impact of the </w:t>
      </w:r>
      <w:r w:rsidR="00615014">
        <w:t xml:space="preserve">stronger </w:t>
      </w:r>
      <w:r w:rsidR="005C65A9">
        <w:t xml:space="preserve">“will veto” </w:t>
      </w:r>
      <w:r w:rsidR="00615014">
        <w:t xml:space="preserve">threat language </w:t>
      </w:r>
      <w:r w:rsidR="005C65A9">
        <w:t xml:space="preserve">for House rules </w:t>
      </w:r>
      <w:r w:rsidR="0038636C">
        <w:t xml:space="preserve">does not </w:t>
      </w:r>
      <w:r w:rsidR="005C65A9">
        <w:t>appear (see Figure 4B) to</w:t>
      </w:r>
      <w:r w:rsidR="0038636C">
        <w:t xml:space="preserve"> increase</w:t>
      </w:r>
      <w:r w:rsidR="00615014">
        <w:t xml:space="preserve"> the </w:t>
      </w:r>
      <w:r w:rsidR="0038636C">
        <w:t>likelihood of filibuster threats</w:t>
      </w:r>
      <w:r w:rsidR="005C65A9">
        <w:t xml:space="preserve"> (equation 6).</w:t>
      </w:r>
      <w:r w:rsidR="005C65A9">
        <w:rPr>
          <w:rStyle w:val="FootnoteReference"/>
        </w:rPr>
        <w:footnoteReference w:id="25"/>
      </w:r>
    </w:p>
    <w:p w:rsidR="00F163EB" w:rsidRPr="005639F5" w:rsidRDefault="00F163EB" w:rsidP="00F163EB">
      <w:pPr>
        <w:pStyle w:val="referencessinglespaceinternal"/>
      </w:pPr>
      <w:r>
        <w:rPr>
          <w:i/>
        </w:rPr>
        <w:t>1C</w:t>
      </w:r>
      <w:r w:rsidRPr="00DD5136">
        <w:t xml:space="preserve">: The Senate will </w:t>
      </w:r>
      <w:r>
        <w:t xml:space="preserve">be more responsive to veto threats than the House of Representatives in </w:t>
      </w:r>
      <w:r w:rsidRPr="00DD5136">
        <w:t>remov</w:t>
      </w:r>
      <w:r>
        <w:t>ing</w:t>
      </w:r>
      <w:r w:rsidRPr="00DD5136">
        <w:t xml:space="preserve"> or modify</w:t>
      </w:r>
      <w:r>
        <w:t>ing</w:t>
      </w:r>
      <w:r w:rsidRPr="00DD5136">
        <w:t xml:space="preserve"> objectionable provisions.</w:t>
      </w:r>
    </w:p>
    <w:p w:rsidR="00615014" w:rsidRDefault="00615014" w:rsidP="00615014">
      <w:r>
        <w:t xml:space="preserve">One reaction to a looming filibuster threat is </w:t>
      </w:r>
      <w:r w:rsidR="00DB2CF1">
        <w:t>inaction. Filibuster threats may stymie legislation either by revealing the absence of a mutually preferred policy or by adding steep transaction costs to future deliberations</w:t>
      </w:r>
      <w:r>
        <w:t xml:space="preserve">. </w:t>
      </w:r>
      <w:r w:rsidR="00DB2CF1">
        <w:t>For th</w:t>
      </w:r>
      <w:r w:rsidR="00F163EB">
        <w:t>os</w:t>
      </w:r>
      <w:r w:rsidR="00DB2CF1">
        <w:t xml:space="preserve">e </w:t>
      </w:r>
      <w:r w:rsidR="005B5C2B">
        <w:t>bills</w:t>
      </w:r>
      <w:r w:rsidR="006419D3">
        <w:t xml:space="preserve"> that </w:t>
      </w:r>
      <w:r w:rsidR="005B5C2B">
        <w:t xml:space="preserve">do </w:t>
      </w:r>
      <w:r w:rsidR="006419D3">
        <w:t>survive</w:t>
      </w:r>
      <w:r w:rsidR="00F163EB">
        <w:t xml:space="preserve"> and reach enrollment</w:t>
      </w:r>
      <w:r w:rsidR="00DB2CF1">
        <w:t xml:space="preserve">, however, </w:t>
      </w:r>
      <w:r w:rsidR="003640FC">
        <w:t xml:space="preserve">the Senate </w:t>
      </w:r>
      <w:r w:rsidR="00F163EB">
        <w:t>is more responsive to veto threats in</w:t>
      </w:r>
      <w:r w:rsidR="006419D3">
        <w:t xml:space="preserve"> </w:t>
      </w:r>
      <w:r w:rsidR="002F4AE6">
        <w:t xml:space="preserve">revising </w:t>
      </w:r>
      <w:r w:rsidR="003640FC">
        <w:t>provisions</w:t>
      </w:r>
      <w:r w:rsidR="005E5610">
        <w:t xml:space="preserve"> </w:t>
      </w:r>
      <w:r w:rsidR="00F163EB">
        <w:t xml:space="preserve">whether they originate in the House or Senate. </w:t>
      </w:r>
      <w:r w:rsidR="00783E56">
        <w:t>This is the principal finding of</w:t>
      </w:r>
      <w:r w:rsidR="00E72FC6">
        <w:t xml:space="preserve"> the models estimated in Table 4</w:t>
      </w:r>
      <w:r w:rsidR="00783E56">
        <w:t xml:space="preserve"> and the derived probabilities plotted in</w:t>
      </w:r>
      <w:r w:rsidR="006419D3">
        <w:t xml:space="preserve"> </w:t>
      </w:r>
      <w:r w:rsidR="003640FC">
        <w:t xml:space="preserve">Figure </w:t>
      </w:r>
      <w:r w:rsidR="00F163EB">
        <w:t>5</w:t>
      </w:r>
      <w:r w:rsidR="002F4AE6">
        <w:t xml:space="preserve">.  </w:t>
      </w:r>
      <w:r w:rsidR="005E5610">
        <w:t xml:space="preserve">The Senate’s </w:t>
      </w:r>
      <w:r w:rsidR="007B4C0C">
        <w:t>rate</w:t>
      </w:r>
      <w:r w:rsidR="005E5610">
        <w:t xml:space="preserve"> of removing or modifying a thr</w:t>
      </w:r>
      <w:r w:rsidR="0038636C">
        <w:t xml:space="preserve">eatened provision in its </w:t>
      </w:r>
      <w:r w:rsidR="005E5610">
        <w:t xml:space="preserve">or </w:t>
      </w:r>
      <w:r w:rsidR="00783E56">
        <w:t>a</w:t>
      </w:r>
      <w:r w:rsidR="005E5610">
        <w:t xml:space="preserve"> House</w:t>
      </w:r>
      <w:r w:rsidR="00783E56">
        <w:t xml:space="preserve"> bill</w:t>
      </w:r>
      <w:r w:rsidR="005E5610">
        <w:t xml:space="preserve"> is 35 and 55 percent</w:t>
      </w:r>
      <w:r w:rsidR="00783E56">
        <w:t>,</w:t>
      </w:r>
      <w:r w:rsidR="005E5610">
        <w:t xml:space="preserve"> respectively. </w:t>
      </w:r>
      <w:r w:rsidR="00783E56">
        <w:t xml:space="preserve">This compares to </w:t>
      </w:r>
      <w:r w:rsidR="007B4C0C">
        <w:t>26 and 46 percent of</w:t>
      </w:r>
      <w:r w:rsidR="00783E56">
        <w:t xml:space="preserve"> threatened provisions </w:t>
      </w:r>
      <w:r w:rsidR="00752376">
        <w:t>modified by the</w:t>
      </w:r>
      <w:r w:rsidR="00783E56">
        <w:t xml:space="preserve"> House</w:t>
      </w:r>
      <w:r w:rsidR="007B4C0C">
        <w:t xml:space="preserve"> when acting</w:t>
      </w:r>
      <w:r w:rsidR="00752376">
        <w:t xml:space="preserve"> first and second</w:t>
      </w:r>
      <w:r w:rsidR="007B4C0C">
        <w:t>.</w:t>
      </w:r>
      <w:r w:rsidR="00EA7E1B">
        <w:rPr>
          <w:rStyle w:val="FootnoteReference"/>
        </w:rPr>
        <w:footnoteReference w:id="26"/>
      </w:r>
      <w:r w:rsidR="00783E56">
        <w:t xml:space="preserve"> It is important to bear in mind, however, that these differences are marginal, </w:t>
      </w:r>
      <w:r w:rsidR="00EA7E1B">
        <w:t xml:space="preserve">and stand in stark contrast to the low modification rates of </w:t>
      </w:r>
      <w:r w:rsidR="00C93400">
        <w:t>matched</w:t>
      </w:r>
      <w:r w:rsidR="005E5610">
        <w:t xml:space="preserve"> unthreatened provisions</w:t>
      </w:r>
      <w:r w:rsidR="002F4AE6">
        <w:t>.</w:t>
      </w:r>
      <w:r w:rsidR="003640FC">
        <w:t xml:space="preserve"> </w:t>
      </w:r>
    </w:p>
    <w:p w:rsidR="005C65A9" w:rsidRDefault="00AC095F" w:rsidP="005C65A9">
      <w:pPr>
        <w:jc w:val="center"/>
      </w:pPr>
      <w:r>
        <w:t>[</w:t>
      </w:r>
      <w:r w:rsidR="00E72FC6">
        <w:t>Table 4</w:t>
      </w:r>
      <w:r w:rsidR="005C65A9">
        <w:t xml:space="preserve"> and Figure </w:t>
      </w:r>
      <w:r w:rsidR="00C72519">
        <w:t>5</w:t>
      </w:r>
      <w:r>
        <w:t xml:space="preserve"> here]</w:t>
      </w:r>
    </w:p>
    <w:p w:rsidR="005C65A9" w:rsidRDefault="005C65A9" w:rsidP="00615014"/>
    <w:p w:rsidR="00C90BFB" w:rsidRPr="00DE2764" w:rsidRDefault="00C90BFB" w:rsidP="00E25238">
      <w:pPr>
        <w:pStyle w:val="Heading3"/>
        <w:framePr w:wrap="auto" w:vAnchor="margin" w:yAlign="inline"/>
      </w:pPr>
      <w:r w:rsidRPr="009658C0">
        <w:t>Haggling</w:t>
      </w:r>
      <w:r>
        <w:tab/>
      </w:r>
    </w:p>
    <w:p w:rsidR="00751AD4" w:rsidRPr="00DD5136" w:rsidRDefault="00687E63" w:rsidP="00751AD4">
      <w:pPr>
        <w:pStyle w:val="referencessinglespaceinternal"/>
      </w:pPr>
      <w:r>
        <w:rPr>
          <w:i/>
        </w:rPr>
        <w:t xml:space="preserve">  </w:t>
      </w:r>
      <w:r w:rsidR="000269F5">
        <w:rPr>
          <w:i/>
        </w:rPr>
        <w:t>2A</w:t>
      </w:r>
      <w:r w:rsidR="00751AD4" w:rsidRPr="00DD5136">
        <w:rPr>
          <w:i/>
        </w:rPr>
        <w:t>:</w:t>
      </w:r>
      <w:r w:rsidR="00751AD4" w:rsidRPr="00DD5136">
        <w:t xml:space="preserve"> </w:t>
      </w:r>
      <w:r w:rsidR="002C49E7">
        <w:t>Extreme</w:t>
      </w:r>
      <w:r w:rsidR="00751AD4" w:rsidRPr="00DD5136">
        <w:t xml:space="preserve"> provisions </w:t>
      </w:r>
      <w:r w:rsidR="00D5176D">
        <w:t xml:space="preserve">provoking veto threats </w:t>
      </w:r>
      <w:r w:rsidR="00751AD4" w:rsidRPr="00DD5136">
        <w:t xml:space="preserve">are more likely to </w:t>
      </w:r>
      <w:r w:rsidR="002C49E7">
        <w:t>appear</w:t>
      </w:r>
      <w:r w:rsidR="00751AD4" w:rsidRPr="00DD5136">
        <w:t xml:space="preserve"> </w:t>
      </w:r>
      <w:r w:rsidR="00751AD4">
        <w:t>in the initial proposal</w:t>
      </w:r>
      <w:r w:rsidR="002C49E7">
        <w:t>s</w:t>
      </w:r>
      <w:r w:rsidR="00751AD4">
        <w:t xml:space="preserve"> than </w:t>
      </w:r>
      <w:r w:rsidR="00C82C4C">
        <w:t xml:space="preserve">in </w:t>
      </w:r>
      <w:r w:rsidR="00751AD4">
        <w:t>subsequent</w:t>
      </w:r>
      <w:r w:rsidR="002C49E7">
        <w:t xml:space="preserve"> revisions</w:t>
      </w:r>
      <w:r w:rsidR="00751AD4" w:rsidRPr="00DD5136">
        <w:t xml:space="preserve">. </w:t>
      </w:r>
    </w:p>
    <w:p w:rsidR="00751AD4" w:rsidRPr="00DD5136" w:rsidRDefault="00751AD4" w:rsidP="00751AD4">
      <w:pPr>
        <w:pStyle w:val="referencessinglespaceinternal"/>
      </w:pPr>
    </w:p>
    <w:p w:rsidR="00751AD4" w:rsidRDefault="00751AD4" w:rsidP="00751AD4">
      <w:pPr>
        <w:pStyle w:val="referencessinglespaceinternal"/>
      </w:pPr>
      <w:r w:rsidRPr="00DD5136">
        <w:rPr>
          <w:i/>
        </w:rPr>
        <w:t xml:space="preserve"> </w:t>
      </w:r>
      <w:r w:rsidR="000269F5">
        <w:rPr>
          <w:i/>
        </w:rPr>
        <w:t>2B</w:t>
      </w:r>
      <w:r w:rsidRPr="00DD5136">
        <w:rPr>
          <w:i/>
        </w:rPr>
        <w:t>:</w:t>
      </w:r>
      <w:r w:rsidRPr="00DD5136">
        <w:t xml:space="preserve"> </w:t>
      </w:r>
      <w:r w:rsidR="00687E63">
        <w:t xml:space="preserve">Holding </w:t>
      </w:r>
      <w:r>
        <w:t>more moderate</w:t>
      </w:r>
      <w:r w:rsidR="00687E63">
        <w:t xml:space="preserve"> preferences</w:t>
      </w:r>
      <w:r>
        <w:t xml:space="preserve">, </w:t>
      </w:r>
      <w:r w:rsidR="00687E63">
        <w:t xml:space="preserve">the </w:t>
      </w:r>
      <w:r>
        <w:t xml:space="preserve">second </w:t>
      </w:r>
      <w:r w:rsidR="00687E63">
        <w:t>chamber</w:t>
      </w:r>
      <w:r>
        <w:t xml:space="preserve"> will modify the first chamber’s bill</w:t>
      </w:r>
      <w:r w:rsidR="00687E63">
        <w:t xml:space="preserve"> to accommodate veto threats. Th</w:t>
      </w:r>
      <w:r w:rsidR="0079379E">
        <w:t>e resulting sequence constitutes</w:t>
      </w:r>
      <w:r>
        <w:t xml:space="preserve"> a </w:t>
      </w:r>
      <w:r w:rsidRPr="00F10839">
        <w:rPr>
          <w:i/>
        </w:rPr>
        <w:t>bicameral haggle</w:t>
      </w:r>
      <w:r>
        <w:t xml:space="preserve">.  </w:t>
      </w:r>
    </w:p>
    <w:p w:rsidR="00751AD4" w:rsidRDefault="00751AD4" w:rsidP="00751AD4">
      <w:pPr>
        <w:pStyle w:val="referencessinglespaceinternal"/>
      </w:pPr>
    </w:p>
    <w:p w:rsidR="00751AD4" w:rsidRDefault="000269F5" w:rsidP="00751AD4">
      <w:pPr>
        <w:pStyle w:val="referencessinglespaceinternal"/>
      </w:pPr>
      <w:r>
        <w:rPr>
          <w:i/>
        </w:rPr>
        <w:t>2C</w:t>
      </w:r>
      <w:r w:rsidR="00751AD4" w:rsidRPr="00DD5136">
        <w:rPr>
          <w:i/>
        </w:rPr>
        <w:t>:</w:t>
      </w:r>
      <w:r w:rsidR="00751AD4" w:rsidRPr="00DD5136">
        <w:t xml:space="preserve"> </w:t>
      </w:r>
      <w:r w:rsidR="00751AD4">
        <w:t>A bill initiated by the</w:t>
      </w:r>
      <w:r w:rsidR="00751AD4" w:rsidRPr="00DD5136">
        <w:t xml:space="preserve"> House of Representatives </w:t>
      </w:r>
      <w:r w:rsidR="00751AD4">
        <w:t xml:space="preserve">is more likely to attract a veto threat than </w:t>
      </w:r>
      <w:r w:rsidR="0079379E">
        <w:t>is a Senate</w:t>
      </w:r>
      <w:r w:rsidR="00687E63">
        <w:t xml:space="preserve"> bill</w:t>
      </w:r>
      <w:r w:rsidR="00751AD4">
        <w:t xml:space="preserve">. </w:t>
      </w:r>
      <w:r w:rsidR="00751AD4" w:rsidRPr="00DD5136">
        <w:t xml:space="preserve"> </w:t>
      </w:r>
    </w:p>
    <w:p w:rsidR="00471B26" w:rsidRDefault="00471B26" w:rsidP="00751AD4">
      <w:pPr>
        <w:pStyle w:val="referencessinglespaceinternal"/>
      </w:pPr>
    </w:p>
    <w:p w:rsidR="00471B26" w:rsidRPr="008548C1" w:rsidRDefault="000269F5" w:rsidP="00471B26">
      <w:pPr>
        <w:pStyle w:val="referencessinglespaceinternal"/>
      </w:pPr>
      <w:r>
        <w:rPr>
          <w:i/>
        </w:rPr>
        <w:t>2D</w:t>
      </w:r>
      <w:r w:rsidR="00471B26">
        <w:rPr>
          <w:i/>
        </w:rPr>
        <w:t>:</w:t>
      </w:r>
      <w:r w:rsidR="00471B26">
        <w:t xml:space="preserve"> The institutional differences between the House and Senate suggest that veto threats will induce a </w:t>
      </w:r>
      <w:r w:rsidR="00471B26" w:rsidRPr="00FE6850">
        <w:rPr>
          <w:i/>
        </w:rPr>
        <w:t>House-initiated</w:t>
      </w:r>
      <w:r w:rsidR="00471B26">
        <w:t xml:space="preserve"> </w:t>
      </w:r>
      <w:r w:rsidR="00471B26" w:rsidRPr="00FE6850">
        <w:rPr>
          <w:i/>
        </w:rPr>
        <w:t>bicameral haggle</w:t>
      </w:r>
      <w:r w:rsidR="00471B26">
        <w:t>.</w:t>
      </w:r>
    </w:p>
    <w:p w:rsidR="00471B26" w:rsidRDefault="00471B26" w:rsidP="00751AD4">
      <w:pPr>
        <w:pStyle w:val="referencessinglespaceinternal"/>
      </w:pPr>
    </w:p>
    <w:p w:rsidR="00664D79" w:rsidRDefault="00664D79" w:rsidP="00664D79">
      <w:r>
        <w:t xml:space="preserve">Consistent with prediction </w:t>
      </w:r>
      <w:r w:rsidR="000269F5">
        <w:rPr>
          <w:i/>
        </w:rPr>
        <w:t>2A</w:t>
      </w:r>
      <w:r>
        <w:t>, only three of the 164 legislative histories of enrolled bills found presidents initially tendering their veto threat only after the second chamber took up the bill. Whether this early exchange of incompatible preferences blossom</w:t>
      </w:r>
      <w:r w:rsidR="0093066C">
        <w:t>s</w:t>
      </w:r>
      <w:r>
        <w:t xml:space="preserve"> into a full-fledged haggle depend</w:t>
      </w:r>
      <w:r w:rsidR="0093066C">
        <w:t>s</w:t>
      </w:r>
      <w:r>
        <w:t xml:space="preserve"> on the next mover’s response. This </w:t>
      </w:r>
      <w:r w:rsidR="0093066C">
        <w:t>may</w:t>
      </w:r>
      <w:r>
        <w:t xml:space="preserve"> take the form of a bicameral or a same chamber haggle (see Figure 2). </w:t>
      </w:r>
      <w:r w:rsidR="004E5A3D">
        <w:t xml:space="preserve">Legislators </w:t>
      </w:r>
      <w:r>
        <w:t>in the originating, extreme chamber</w:t>
      </w:r>
      <w:r w:rsidR="004E5A3D">
        <w:t xml:space="preserve"> may</w:t>
      </w:r>
      <w:r>
        <w:t xml:space="preserve"> </w:t>
      </w:r>
      <w:r w:rsidR="004E5A3D">
        <w:t>anticipate the actions of</w:t>
      </w:r>
      <w:r>
        <w:t xml:space="preserve"> the more moderate chamber</w:t>
      </w:r>
      <w:r w:rsidR="004E5A3D">
        <w:t xml:space="preserve"> and</w:t>
      </w:r>
      <w:r>
        <w:t xml:space="preserve"> prudent</w:t>
      </w:r>
      <w:r w:rsidR="004E5A3D">
        <w:t>ly decide to husband their bargaining chits until</w:t>
      </w:r>
      <w:r>
        <w:t xml:space="preserve"> conference. Hence, </w:t>
      </w:r>
      <w:r w:rsidR="000269F5">
        <w:rPr>
          <w:i/>
        </w:rPr>
        <w:t>2B</w:t>
      </w:r>
      <w:r>
        <w:t xml:space="preserve"> predicts that the task of fashioning a compromise from these early bids will fall principally on the second chamber. </w:t>
      </w:r>
      <w:r w:rsidR="004E5A3D">
        <w:t>In Figure 5 the probability of the House or the Senate dropping or modifying a threatened provision increases sharply whenever it acts second</w:t>
      </w:r>
      <w:r>
        <w:t xml:space="preserve">. The 45 percent and 53 percent revision rates for the House and Senate when acting second are all the more impressive since they are based only on those threatened provisions that the first chamber failed to drop or revise. </w:t>
      </w:r>
    </w:p>
    <w:p w:rsidR="00664D79" w:rsidRPr="004A6810" w:rsidRDefault="00664D79" w:rsidP="00664D79">
      <w:r>
        <w:t xml:space="preserve">With the House majority party able to exercise greater control than its Senate counterpart over floor decisions, </w:t>
      </w:r>
      <w:r w:rsidR="000269F5">
        <w:rPr>
          <w:i/>
        </w:rPr>
        <w:t>2C</w:t>
      </w:r>
      <w:r>
        <w:rPr>
          <w:i/>
        </w:rPr>
        <w:t xml:space="preserve"> </w:t>
      </w:r>
      <w:r>
        <w:t xml:space="preserve">predicts that House </w:t>
      </w:r>
      <w:r w:rsidR="004E5A3D">
        <w:t>proposals</w:t>
      </w:r>
      <w:r>
        <w:t xml:space="preserve"> will be more likely to attract veto threats. We have already reported clear evidence of this bias in Table 1 where the variable </w:t>
      </w:r>
      <w:r w:rsidR="004E5A3D">
        <w:t>designating</w:t>
      </w:r>
      <w:r>
        <w:t xml:space="preserve"> bills </w:t>
      </w:r>
      <w:r w:rsidR="004E5A3D">
        <w:t xml:space="preserve">and provisions </w:t>
      </w:r>
      <w:r>
        <w:t xml:space="preserve">originating in the House of Representatives </w:t>
      </w:r>
      <w:r w:rsidR="004E5A3D">
        <w:t>is closely associated</w:t>
      </w:r>
      <w:r>
        <w:t xml:space="preserve"> </w:t>
      </w:r>
      <w:r w:rsidR="004E5A3D">
        <w:t xml:space="preserve">with </w:t>
      </w:r>
      <w:r>
        <w:t xml:space="preserve">the president’s selection of legislation to threaten. Presidents are 1.66 times more likely to target a House proposal. Combined with the House’s greater productivity, presidents find themselves sending about 80 percent of </w:t>
      </w:r>
      <w:proofErr w:type="gramStart"/>
      <w:r>
        <w:t>their</w:t>
      </w:r>
      <w:proofErr w:type="gramEnd"/>
      <w:r>
        <w:t xml:space="preserve"> threatening </w:t>
      </w:r>
      <w:proofErr w:type="spellStart"/>
      <w:r>
        <w:t>SAPs</w:t>
      </w:r>
      <w:proofErr w:type="spellEnd"/>
      <w:r>
        <w:t xml:space="preserve"> to House leaders. </w:t>
      </w:r>
      <w:r w:rsidR="0010684C">
        <w:t xml:space="preserve">This sets the stage for the House-initiated bicameral haggle hypothesized in </w:t>
      </w:r>
      <w:r w:rsidR="000269F5">
        <w:rPr>
          <w:i/>
        </w:rPr>
        <w:t>2D</w:t>
      </w:r>
      <w:r w:rsidR="0010684C">
        <w:rPr>
          <w:i/>
        </w:rPr>
        <w:t xml:space="preserve">. </w:t>
      </w:r>
      <w:r w:rsidR="0010684C">
        <w:t>In Figure 5 the probability that the Senate will modify a provision increases sharply once it has been threatened. Overall, s</w:t>
      </w:r>
      <w:r w:rsidR="00471B26">
        <w:t xml:space="preserve">ixty percent of </w:t>
      </w:r>
      <w:r w:rsidR="0010684C">
        <w:t>veto</w:t>
      </w:r>
      <w:r w:rsidR="00471B26">
        <w:t xml:space="preserve"> threatened House provisions fail to make it out of the Senate.</w:t>
      </w:r>
      <w:r w:rsidR="0010684C">
        <w:t xml:space="preserve"> Of the various combinations of chamber responses diagrammed in Figure 2, the House-initiated bicameral haggle represents the modal sequence, occurring for fully a third of all provisions that presidents threaten. It is about eight times more likely to occur than the reverse bicameral sequence that has the House </w:t>
      </w:r>
      <w:r w:rsidR="00192774">
        <w:t>modifying threatened</w:t>
      </w:r>
      <w:r w:rsidR="0010684C">
        <w:t xml:space="preserve"> Senate provisions.</w:t>
      </w:r>
    </w:p>
    <w:p w:rsidR="00664D79" w:rsidRDefault="00664D79" w:rsidP="00664D79">
      <w:r>
        <w:t xml:space="preserve">Nonetheless, presidents do threaten Senate bills. This raises the </w:t>
      </w:r>
      <w:proofErr w:type="gramStart"/>
      <w:r>
        <w:t>question,</w:t>
      </w:r>
      <w:proofErr w:type="gramEnd"/>
      <w:r>
        <w:t xml:space="preserve"> do veto threats directed at th</w:t>
      </w:r>
      <w:r w:rsidR="00A13DBC">
        <w:t>e Senate similarly launch haggling sequence</w:t>
      </w:r>
      <w:r>
        <w:t xml:space="preserve">s?  The answer is that they largely do – 49 percent of Senate-initiated provisions compared to 53 percent for the House. But here the similarity ends. Veto threatened Senate proposals are much more likely to follow the same chamber than the bicameral sequence, while the reverse pattern characterizes haggles </w:t>
      </w:r>
      <w:r w:rsidR="00D20955">
        <w:t>of</w:t>
      </w:r>
      <w:r>
        <w:t xml:space="preserve"> House proposals. </w:t>
      </w:r>
      <w:r w:rsidR="00DF0509">
        <w:t xml:space="preserve"> Of the threatened provisions that follow a haggling sequence, only 44 percent of those originating in the Senate take a bicameral haggle trajectory compared to 71 percent of House provisions</w:t>
      </w:r>
      <w:r>
        <w:t xml:space="preserve">. This pattern is fully consistent with the textbook representations of these chambers. The House sticks to </w:t>
      </w:r>
      <w:r w:rsidR="0093066C">
        <w:t>its</w:t>
      </w:r>
      <w:r>
        <w:t xml:space="preserve"> extreme propos</w:t>
      </w:r>
      <w:r w:rsidR="0093066C">
        <w:t>al</w:t>
      </w:r>
      <w:r>
        <w:t xml:space="preserve"> most of the time, wh</w:t>
      </w:r>
      <w:r w:rsidR="008A2149">
        <w:t xml:space="preserve">ereas </w:t>
      </w:r>
      <w:r>
        <w:t xml:space="preserve">the </w:t>
      </w:r>
      <w:r w:rsidR="00D872CF">
        <w:t>filibuster</w:t>
      </w:r>
      <w:r>
        <w:t xml:space="preserve"> </w:t>
      </w:r>
      <w:r w:rsidR="00D872CF">
        <w:t xml:space="preserve">forces </w:t>
      </w:r>
      <w:r w:rsidR="008A2149">
        <w:t xml:space="preserve">a </w:t>
      </w:r>
      <w:r w:rsidR="0093066C">
        <w:t xml:space="preserve">Senate </w:t>
      </w:r>
      <w:r w:rsidR="008A2149">
        <w:t xml:space="preserve">retreat before the bill leaves the chamber. </w:t>
      </w:r>
      <w:r>
        <w:t xml:space="preserve">Yet neither chamber wholly conforms to this stereotype. When the Senate fails to modify </w:t>
      </w:r>
      <w:r w:rsidR="00E03781">
        <w:t>a</w:t>
      </w:r>
      <w:r>
        <w:t xml:space="preserve"> threatened provision, </w:t>
      </w:r>
      <w:r w:rsidR="00E03781">
        <w:t xml:space="preserve">there is a 50-50 chance that the House will do so. </w:t>
      </w:r>
      <w:r w:rsidR="0093066C">
        <w:t xml:space="preserve">With </w:t>
      </w:r>
      <w:r w:rsidR="00E03781">
        <w:t xml:space="preserve">the Senate </w:t>
      </w:r>
      <w:r w:rsidR="0093066C">
        <w:t>frequently</w:t>
      </w:r>
      <w:r w:rsidR="00E03781">
        <w:t xml:space="preserve"> modifying its proposals on the floor after a veto threat, </w:t>
      </w:r>
      <w:r w:rsidR="0093066C">
        <w:t xml:space="preserve">however, </w:t>
      </w:r>
      <w:r w:rsidR="00E03781">
        <w:t xml:space="preserve">the House </w:t>
      </w:r>
      <w:r w:rsidR="0093066C">
        <w:t xml:space="preserve">is infrequently called upon to </w:t>
      </w:r>
      <w:r w:rsidR="00E03781">
        <w:t>accommodat</w:t>
      </w:r>
      <w:r w:rsidR="0093066C">
        <w:t>e the president</w:t>
      </w:r>
      <w:r w:rsidR="00E03781">
        <w:t xml:space="preserve">. </w:t>
      </w:r>
    </w:p>
    <w:p w:rsidR="00CC4B72" w:rsidRDefault="0009531E" w:rsidP="00E03781">
      <w:r>
        <w:t xml:space="preserve">Although legislative sequences for unthreatened provisions </w:t>
      </w:r>
      <w:r w:rsidR="00CC4B72">
        <w:t>are more ambiguous given</w:t>
      </w:r>
      <w:r>
        <w:t xml:space="preserve"> the absence of the directional dimension supplied by a president’s veto threat, </w:t>
      </w:r>
      <w:r w:rsidR="00CC4B72">
        <w:t xml:space="preserve">comparing instances </w:t>
      </w:r>
      <w:r>
        <w:t xml:space="preserve">where threats are </w:t>
      </w:r>
      <w:r w:rsidR="00CC4B72">
        <w:t xml:space="preserve">present and </w:t>
      </w:r>
      <w:r>
        <w:t>absent</w:t>
      </w:r>
      <w:r w:rsidR="00CC4B72">
        <w:t xml:space="preserve"> are informative</w:t>
      </w:r>
      <w:r>
        <w:t xml:space="preserve">. </w:t>
      </w:r>
      <w:r w:rsidR="00447A72">
        <w:t xml:space="preserve">If, as we argue, the frequency of different haggling sequences reflects the distance in the policy preferences between presidents and opposition-party majorities in the House and Senate, then sequences should be less prevalent for unthreatened bills. </w:t>
      </w:r>
      <w:r w:rsidR="00454283">
        <w:t>In the ra</w:t>
      </w:r>
      <w:r w:rsidR="000873BD">
        <w:t>w</w:t>
      </w:r>
      <w:r w:rsidR="00454283">
        <w:t xml:space="preserve"> distributions underlying</w:t>
      </w:r>
      <w:r w:rsidR="000873BD">
        <w:t xml:space="preserve"> </w:t>
      </w:r>
      <w:r w:rsidR="00454283">
        <w:t>the probabilities shown in Figure 5, significantly fewer unthreatened provisions (</w:t>
      </w:r>
      <w:r w:rsidR="00454283" w:rsidRPr="00454283">
        <w:t>44</w:t>
      </w:r>
      <w:r w:rsidR="00454283">
        <w:t xml:space="preserve"> percent to</w:t>
      </w:r>
      <w:r w:rsidR="00454283" w:rsidRPr="00454283">
        <w:t xml:space="preserve"> 65 </w:t>
      </w:r>
      <w:r w:rsidR="00454283">
        <w:t>percent of threatened provisions) ever see a</w:t>
      </w:r>
      <w:r w:rsidR="0022033A">
        <w:t xml:space="preserve"> revision of any kind.</w:t>
      </w:r>
      <w:r w:rsidR="00D065B7">
        <w:rPr>
          <w:rStyle w:val="FootnoteReference"/>
        </w:rPr>
        <w:footnoteReference w:id="27"/>
      </w:r>
      <w:r w:rsidR="0022033A">
        <w:t xml:space="preserve"> </w:t>
      </w:r>
      <w:r w:rsidR="00454283" w:rsidRPr="00D065B7">
        <w:t xml:space="preserve">Moreover, when one chamber revises its </w:t>
      </w:r>
      <w:r w:rsidR="00454283">
        <w:t xml:space="preserve">threatened </w:t>
      </w:r>
      <w:r w:rsidR="00454283" w:rsidRPr="00D065B7">
        <w:t>proposal on the floor the likelihood that the second chamber will revert back to the original provision is less than 2 percent, about six times less likely than reversals of veto threatened provisions.</w:t>
      </w:r>
      <w:r w:rsidR="00454283">
        <w:t xml:space="preserve"> </w:t>
      </w:r>
    </w:p>
    <w:p w:rsidR="00CB3B9B" w:rsidRDefault="00447A72" w:rsidP="00E03781">
      <w:pPr>
        <w:rPr>
          <w:color w:val="FF0000"/>
        </w:rPr>
      </w:pPr>
      <w:r>
        <w:t xml:space="preserve">Measured by </w:t>
      </w:r>
      <w:r w:rsidR="00CC4B72">
        <w:t>the greater frequency with which threatened provisions are revised and reversed</w:t>
      </w:r>
      <w:r>
        <w:t xml:space="preserve">, veto threats appear to </w:t>
      </w:r>
      <w:r w:rsidR="007816EC">
        <w:t xml:space="preserve">allow presidents to </w:t>
      </w:r>
      <w:r>
        <w:t xml:space="preserve">set the legislative agenda. This </w:t>
      </w:r>
      <w:r w:rsidR="007816EC">
        <w:t xml:space="preserve">preoccupation with threatened provisions </w:t>
      </w:r>
      <w:r>
        <w:t xml:space="preserve">becomes even </w:t>
      </w:r>
      <w:r w:rsidR="007816EC">
        <w:t>more apparent in conference, which is understandable given the possibility of an actual</w:t>
      </w:r>
      <w:r>
        <w:t xml:space="preserve"> veto on the near horizon.</w:t>
      </w:r>
    </w:p>
    <w:p w:rsidR="00C90BFB" w:rsidRPr="00735C1C" w:rsidRDefault="00C90BFB" w:rsidP="00C90BFB">
      <w:pPr>
        <w:pStyle w:val="Heading3"/>
        <w:framePr w:wrap="auto" w:vAnchor="margin" w:yAlign="inline"/>
      </w:pPr>
      <w:r>
        <w:t>Conference Committee</w:t>
      </w:r>
    </w:p>
    <w:p w:rsidR="00E965B3" w:rsidRPr="000B4AB8" w:rsidRDefault="000269F5" w:rsidP="00E965B3">
      <w:r>
        <w:rPr>
          <w:i/>
        </w:rPr>
        <w:t>3A</w:t>
      </w:r>
      <w:r w:rsidR="00E965B3">
        <w:rPr>
          <w:i/>
        </w:rPr>
        <w:t xml:space="preserve">: </w:t>
      </w:r>
      <w:r w:rsidR="00E965B3">
        <w:t xml:space="preserve">Conference will be more likely to </w:t>
      </w:r>
      <w:r w:rsidR="00233C13">
        <w:t xml:space="preserve">modify (and </w:t>
      </w:r>
      <w:r w:rsidR="005B5C2B">
        <w:t xml:space="preserve">preserve </w:t>
      </w:r>
      <w:r w:rsidR="00233C13">
        <w:t xml:space="preserve">previous </w:t>
      </w:r>
      <w:r w:rsidR="005B5C2B">
        <w:t>modifications to</w:t>
      </w:r>
      <w:r w:rsidR="00233C13">
        <w:t>)</w:t>
      </w:r>
      <w:r w:rsidR="005B5C2B">
        <w:t xml:space="preserve"> veto threatened than u</w:t>
      </w:r>
      <w:r w:rsidR="00E965B3">
        <w:t xml:space="preserve">nthreatened provisions. </w:t>
      </w:r>
    </w:p>
    <w:p w:rsidR="009C2D60" w:rsidRDefault="0045301F" w:rsidP="003A6CB9">
      <w:pPr>
        <w:rPr>
          <w:rFonts w:eastAsiaTheme="majorEastAsia"/>
        </w:rPr>
      </w:pPr>
      <w:r>
        <w:rPr>
          <w:rFonts w:eastAsiaTheme="majorEastAsia"/>
        </w:rPr>
        <w:t xml:space="preserve">Conferees </w:t>
      </w:r>
      <w:r w:rsidR="00ED796B">
        <w:rPr>
          <w:rFonts w:eastAsiaTheme="majorEastAsia"/>
        </w:rPr>
        <w:t xml:space="preserve">do not greet each bill’s arrival as a fresh opportunity to make new policy. Instead, </w:t>
      </w:r>
      <w:r w:rsidR="007816EC">
        <w:rPr>
          <w:rFonts w:eastAsiaTheme="majorEastAsia"/>
        </w:rPr>
        <w:t>legislation</w:t>
      </w:r>
      <w:r w:rsidR="00ED796B">
        <w:rPr>
          <w:rFonts w:eastAsiaTheme="majorEastAsia"/>
        </w:rPr>
        <w:t xml:space="preserve"> arrives</w:t>
      </w:r>
      <w:r>
        <w:rPr>
          <w:rFonts w:eastAsiaTheme="majorEastAsia"/>
        </w:rPr>
        <w:t xml:space="preserve"> at conference laden with </w:t>
      </w:r>
      <w:r w:rsidR="009C2D60">
        <w:rPr>
          <w:rFonts w:eastAsiaTheme="majorEastAsia"/>
        </w:rPr>
        <w:t xml:space="preserve">layers </w:t>
      </w:r>
      <w:r>
        <w:rPr>
          <w:rFonts w:eastAsiaTheme="majorEastAsia"/>
        </w:rPr>
        <w:t xml:space="preserve">of actions and </w:t>
      </w:r>
      <w:r w:rsidR="009C2D60">
        <w:rPr>
          <w:rFonts w:eastAsiaTheme="majorEastAsia"/>
        </w:rPr>
        <w:t>expectations from</w:t>
      </w:r>
      <w:r w:rsidR="00ED796B">
        <w:rPr>
          <w:rFonts w:eastAsiaTheme="majorEastAsia"/>
        </w:rPr>
        <w:t xml:space="preserve"> each veto actor. </w:t>
      </w:r>
      <w:r>
        <w:rPr>
          <w:rFonts w:eastAsiaTheme="majorEastAsia"/>
        </w:rPr>
        <w:t>Conference’s formal mandate requires it to assemble</w:t>
      </w:r>
      <w:r w:rsidR="00233C13">
        <w:rPr>
          <w:rFonts w:eastAsiaTheme="majorEastAsia"/>
        </w:rPr>
        <w:t xml:space="preserve"> a bundle of provisions that</w:t>
      </w:r>
      <w:r w:rsidR="003A6CB9">
        <w:rPr>
          <w:rFonts w:eastAsiaTheme="majorEastAsia"/>
        </w:rPr>
        <w:t xml:space="preserve"> </w:t>
      </w:r>
      <w:r w:rsidR="00ED796B">
        <w:rPr>
          <w:rFonts w:eastAsiaTheme="majorEastAsia"/>
        </w:rPr>
        <w:t xml:space="preserve">satisfy </w:t>
      </w:r>
      <w:r w:rsidR="003A6CB9">
        <w:rPr>
          <w:rFonts w:eastAsiaTheme="majorEastAsia"/>
        </w:rPr>
        <w:t xml:space="preserve">the </w:t>
      </w:r>
      <w:r w:rsidR="009C2D60">
        <w:rPr>
          <w:rFonts w:eastAsiaTheme="majorEastAsia"/>
        </w:rPr>
        <w:t xml:space="preserve">pivotal members of the </w:t>
      </w:r>
      <w:r w:rsidR="00233C13">
        <w:rPr>
          <w:rFonts w:eastAsiaTheme="majorEastAsia"/>
        </w:rPr>
        <w:t>House</w:t>
      </w:r>
      <w:r>
        <w:rPr>
          <w:rFonts w:eastAsiaTheme="majorEastAsia"/>
        </w:rPr>
        <w:t xml:space="preserve"> and</w:t>
      </w:r>
      <w:r w:rsidR="00233C13">
        <w:rPr>
          <w:rFonts w:eastAsiaTheme="majorEastAsia"/>
        </w:rPr>
        <w:t xml:space="preserve"> Senate</w:t>
      </w:r>
      <w:r>
        <w:rPr>
          <w:rFonts w:eastAsiaTheme="majorEastAsia"/>
        </w:rPr>
        <w:t xml:space="preserve">; </w:t>
      </w:r>
      <w:r w:rsidR="009C2D60">
        <w:rPr>
          <w:rFonts w:eastAsiaTheme="majorEastAsia"/>
        </w:rPr>
        <w:t>increasingly</w:t>
      </w:r>
      <w:r>
        <w:rPr>
          <w:rFonts w:eastAsiaTheme="majorEastAsia"/>
        </w:rPr>
        <w:t xml:space="preserve">, </w:t>
      </w:r>
      <w:r w:rsidR="009C2D60">
        <w:rPr>
          <w:rFonts w:eastAsiaTheme="majorEastAsia"/>
        </w:rPr>
        <w:t xml:space="preserve">conference </w:t>
      </w:r>
      <w:r>
        <w:rPr>
          <w:rFonts w:eastAsiaTheme="majorEastAsia"/>
        </w:rPr>
        <w:t>has an additional, informal mandate of finding a bill that also satisfies the</w:t>
      </w:r>
      <w:r w:rsidR="00233C13">
        <w:rPr>
          <w:rFonts w:eastAsiaTheme="majorEastAsia"/>
        </w:rPr>
        <w:t xml:space="preserve"> president</w:t>
      </w:r>
      <w:r w:rsidR="009C2D60">
        <w:rPr>
          <w:rFonts w:eastAsiaTheme="majorEastAsia"/>
        </w:rPr>
        <w:t xml:space="preserve"> (Sinclair 2011)</w:t>
      </w:r>
      <w:r w:rsidR="003A6CB9">
        <w:rPr>
          <w:rFonts w:eastAsiaTheme="majorEastAsia"/>
        </w:rPr>
        <w:t xml:space="preserve">. </w:t>
      </w:r>
    </w:p>
    <w:p w:rsidR="00F24CC6" w:rsidRDefault="00233C13" w:rsidP="00F24CC6">
      <w:pPr>
        <w:rPr>
          <w:rFonts w:eastAsiaTheme="majorEastAsia"/>
        </w:rPr>
      </w:pPr>
      <w:r>
        <w:rPr>
          <w:rFonts w:eastAsiaTheme="majorEastAsia"/>
        </w:rPr>
        <w:t xml:space="preserve">Each of the four </w:t>
      </w:r>
      <w:r w:rsidR="009C2D60">
        <w:rPr>
          <w:rFonts w:eastAsiaTheme="majorEastAsia"/>
        </w:rPr>
        <w:t>types of legislative histories</w:t>
      </w:r>
      <w:r w:rsidR="0045301F">
        <w:rPr>
          <w:rFonts w:eastAsiaTheme="majorEastAsia"/>
        </w:rPr>
        <w:t xml:space="preserve"> in Figure 2 </w:t>
      </w:r>
      <w:r w:rsidR="00E26BFC">
        <w:rPr>
          <w:rFonts w:eastAsiaTheme="majorEastAsia"/>
        </w:rPr>
        <w:t xml:space="preserve">presents </w:t>
      </w:r>
      <w:r w:rsidR="0045301F">
        <w:rPr>
          <w:rFonts w:eastAsiaTheme="majorEastAsia"/>
        </w:rPr>
        <w:t xml:space="preserve">conference with different </w:t>
      </w:r>
      <w:r w:rsidR="00ED796B">
        <w:rPr>
          <w:rFonts w:eastAsiaTheme="majorEastAsia"/>
        </w:rPr>
        <w:t>issues to resolve</w:t>
      </w:r>
      <w:r>
        <w:rPr>
          <w:rFonts w:eastAsiaTheme="majorEastAsia"/>
        </w:rPr>
        <w:t xml:space="preserve">. </w:t>
      </w:r>
      <w:r w:rsidR="00E26BFC">
        <w:rPr>
          <w:rFonts w:eastAsiaTheme="majorEastAsia"/>
        </w:rPr>
        <w:t>About</w:t>
      </w:r>
      <w:r w:rsidR="00AE4BCB">
        <w:rPr>
          <w:rFonts w:eastAsiaTheme="majorEastAsia"/>
        </w:rPr>
        <w:t xml:space="preserve"> half of the veto threatened provisions arrive with the chambers in agreement (</w:t>
      </w:r>
      <w:r w:rsidR="00E26BFC">
        <w:rPr>
          <w:rFonts w:eastAsiaTheme="majorEastAsia"/>
        </w:rPr>
        <w:t>same</w:t>
      </w:r>
      <w:r w:rsidR="00AE4BCB">
        <w:rPr>
          <w:rFonts w:eastAsiaTheme="majorEastAsia"/>
        </w:rPr>
        <w:t xml:space="preserve"> chamber haggles and stonewalls), </w:t>
      </w:r>
      <w:r w:rsidR="00E26BFC">
        <w:rPr>
          <w:rFonts w:eastAsiaTheme="majorEastAsia"/>
        </w:rPr>
        <w:t xml:space="preserve">but </w:t>
      </w:r>
      <w:r w:rsidR="00AE4BCB">
        <w:rPr>
          <w:rFonts w:eastAsiaTheme="majorEastAsia"/>
        </w:rPr>
        <w:t xml:space="preserve">only about a tenth (second chamber reversal) </w:t>
      </w:r>
      <w:r w:rsidR="00E26BFC">
        <w:rPr>
          <w:rFonts w:eastAsiaTheme="majorEastAsia"/>
        </w:rPr>
        <w:t>find</w:t>
      </w:r>
      <w:r w:rsidR="00692F27">
        <w:rPr>
          <w:rFonts w:eastAsiaTheme="majorEastAsia"/>
        </w:rPr>
        <w:t xml:space="preserve"> the chambers in clear disagreement.  </w:t>
      </w:r>
      <w:r w:rsidR="00E26BFC">
        <w:rPr>
          <w:rFonts w:eastAsiaTheme="majorEastAsia"/>
        </w:rPr>
        <w:t xml:space="preserve">Bicameral haggle represents the largest and </w:t>
      </w:r>
      <w:r w:rsidR="00AD5A82">
        <w:rPr>
          <w:rFonts w:eastAsiaTheme="majorEastAsia"/>
        </w:rPr>
        <w:t xml:space="preserve">theoretically </w:t>
      </w:r>
      <w:r w:rsidR="007816EC">
        <w:rPr>
          <w:rFonts w:eastAsiaTheme="majorEastAsia"/>
        </w:rPr>
        <w:t xml:space="preserve">most </w:t>
      </w:r>
      <w:r w:rsidR="00AD5A82">
        <w:rPr>
          <w:rFonts w:eastAsiaTheme="majorEastAsia"/>
        </w:rPr>
        <w:t>interesting</w:t>
      </w:r>
      <w:r w:rsidR="00E26BFC">
        <w:rPr>
          <w:rFonts w:eastAsiaTheme="majorEastAsia"/>
        </w:rPr>
        <w:t xml:space="preserve"> class of provisions for conference action</w:t>
      </w:r>
      <w:r w:rsidR="00AD5A82">
        <w:rPr>
          <w:rFonts w:eastAsiaTheme="majorEastAsia"/>
        </w:rPr>
        <w:t xml:space="preserve">. Where the second chamber’s modification is coordinated with the </w:t>
      </w:r>
      <w:r w:rsidR="00E26BFC">
        <w:rPr>
          <w:rFonts w:eastAsiaTheme="majorEastAsia"/>
        </w:rPr>
        <w:t>extreme</w:t>
      </w:r>
      <w:r w:rsidR="00AD5A82">
        <w:rPr>
          <w:rFonts w:eastAsiaTheme="majorEastAsia"/>
        </w:rPr>
        <w:t xml:space="preserve"> chamber, conference </w:t>
      </w:r>
      <w:r w:rsidR="00E26BFC">
        <w:rPr>
          <w:rFonts w:eastAsiaTheme="majorEastAsia"/>
        </w:rPr>
        <w:t xml:space="preserve">simply </w:t>
      </w:r>
      <w:r w:rsidR="00AD5A82">
        <w:rPr>
          <w:rFonts w:eastAsiaTheme="majorEastAsia"/>
        </w:rPr>
        <w:t xml:space="preserve">certifies the haggling compromise. Where the second chamber’s action fails to take the first chamber’s preferences adequately into account, however, conference faces a difficult task of resolving disagreement while keeping an eye on the administration’s </w:t>
      </w:r>
      <w:r w:rsidR="00E26BFC">
        <w:rPr>
          <w:rFonts w:eastAsiaTheme="majorEastAsia"/>
        </w:rPr>
        <w:t>minimum requirements</w:t>
      </w:r>
      <w:r w:rsidR="00AD5A82">
        <w:rPr>
          <w:rFonts w:eastAsiaTheme="majorEastAsia"/>
        </w:rPr>
        <w:t>.</w:t>
      </w:r>
    </w:p>
    <w:p w:rsidR="00B9715D" w:rsidRDefault="00F24CC6" w:rsidP="00F24CC6">
      <w:pPr>
        <w:jc w:val="center"/>
        <w:rPr>
          <w:rFonts w:eastAsiaTheme="majorEastAsia"/>
        </w:rPr>
      </w:pPr>
      <w:r>
        <w:t>[Table 5 here]</w:t>
      </w:r>
    </w:p>
    <w:p w:rsidR="007816EC" w:rsidRDefault="002932F1" w:rsidP="00001824">
      <w:r>
        <w:t xml:space="preserve">Prediction </w:t>
      </w:r>
      <w:r w:rsidR="000269F5">
        <w:rPr>
          <w:i/>
        </w:rPr>
        <w:t>3A</w:t>
      </w:r>
      <w:r w:rsidR="000E53F8">
        <w:t xml:space="preserve"> </w:t>
      </w:r>
      <w:r>
        <w:t xml:space="preserve">has </w:t>
      </w:r>
      <w:r w:rsidR="000E53F8">
        <w:t>conferees</w:t>
      </w:r>
      <w:r w:rsidR="00602EEA">
        <w:t xml:space="preserve">, </w:t>
      </w:r>
      <w:r w:rsidR="00602EEA" w:rsidRPr="00602EEA">
        <w:rPr>
          <w:i/>
        </w:rPr>
        <w:t>ceteris paribus</w:t>
      </w:r>
      <w:r w:rsidR="00602EEA">
        <w:t>,</w:t>
      </w:r>
      <w:r w:rsidR="000E53F8">
        <w:t xml:space="preserve"> opt</w:t>
      </w:r>
      <w:r>
        <w:t>ing</w:t>
      </w:r>
      <w:r w:rsidR="000E53F8">
        <w:t xml:space="preserve"> for modified version</w:t>
      </w:r>
      <w:r w:rsidR="00AD5A82">
        <w:t>s</w:t>
      </w:r>
      <w:r w:rsidR="000E53F8">
        <w:t xml:space="preserve"> of </w:t>
      </w:r>
      <w:r w:rsidR="00AD5A82">
        <w:t>threatened</w:t>
      </w:r>
      <w:r w:rsidR="000E53F8">
        <w:t xml:space="preserve"> provision</w:t>
      </w:r>
      <w:r w:rsidR="00AD5A82">
        <w:t>s</w:t>
      </w:r>
      <w:r w:rsidR="000E53F8">
        <w:t xml:space="preserve"> in order to improve chances </w:t>
      </w:r>
      <w:r w:rsidR="00AD5A82">
        <w:t xml:space="preserve">of </w:t>
      </w:r>
      <w:r w:rsidR="00F008C3">
        <w:t>winning the president’s signature</w:t>
      </w:r>
      <w:r w:rsidR="000E53F8">
        <w:t>.</w:t>
      </w:r>
      <w:r w:rsidR="000E53F8">
        <w:rPr>
          <w:rStyle w:val="FootnoteReference"/>
        </w:rPr>
        <w:footnoteReference w:id="28"/>
      </w:r>
      <w:r w:rsidR="00AD5A82">
        <w:t xml:space="preserve">  </w:t>
      </w:r>
      <w:r w:rsidR="00F81607">
        <w:t xml:space="preserve">Testing </w:t>
      </w:r>
      <w:r w:rsidR="000269F5">
        <w:rPr>
          <w:i/>
        </w:rPr>
        <w:t>3A</w:t>
      </w:r>
      <w:r w:rsidR="000E53F8">
        <w:rPr>
          <w:i/>
        </w:rPr>
        <w:t xml:space="preserve"> </w:t>
      </w:r>
      <w:r w:rsidR="000E53F8">
        <w:t xml:space="preserve">on each </w:t>
      </w:r>
      <w:r w:rsidR="00BF4AF6">
        <w:t xml:space="preserve">class of </w:t>
      </w:r>
      <w:r w:rsidR="000E53F8">
        <w:t xml:space="preserve">legislative </w:t>
      </w:r>
      <w:r w:rsidR="00BF4AF6">
        <w:t>sequence</w:t>
      </w:r>
      <w:r>
        <w:t>s</w:t>
      </w:r>
      <w:r w:rsidR="00001824">
        <w:t xml:space="preserve"> requires </w:t>
      </w:r>
      <w:r w:rsidR="00F81607">
        <w:t xml:space="preserve">estimating </w:t>
      </w:r>
      <w:r w:rsidR="00001824">
        <w:t>complex interaction</w:t>
      </w:r>
      <w:r w:rsidR="00F81607">
        <w:t xml:space="preserve">s </w:t>
      </w:r>
      <w:r w:rsidR="00E26BFC">
        <w:t xml:space="preserve">between legislative sequence and the </w:t>
      </w:r>
      <w:r w:rsidR="00F81607">
        <w:t>presence of a veto threat</w:t>
      </w:r>
      <w:r w:rsidR="00E26BFC">
        <w:t xml:space="preserve">. </w:t>
      </w:r>
      <w:r w:rsidR="006B05BB">
        <w:t xml:space="preserve">For ease of interpretation, </w:t>
      </w:r>
      <w:r w:rsidR="00A136BB">
        <w:t>Figure 6</w:t>
      </w:r>
      <w:r w:rsidR="005C2582">
        <w:t xml:space="preserve"> </w:t>
      </w:r>
      <w:r>
        <w:t>maps</w:t>
      </w:r>
      <w:r w:rsidR="006B05BB">
        <w:t xml:space="preserve"> </w:t>
      </w:r>
      <w:r w:rsidR="005C2582">
        <w:t>the marginal effects</w:t>
      </w:r>
      <w:r w:rsidR="0009540C">
        <w:t xml:space="preserve"> </w:t>
      </w:r>
      <w:r>
        <w:t>from</w:t>
      </w:r>
      <w:r w:rsidR="00602EEA">
        <w:t xml:space="preserve"> the </w:t>
      </w:r>
      <w:proofErr w:type="spellStart"/>
      <w:r w:rsidR="00602EEA">
        <w:t>logit</w:t>
      </w:r>
      <w:proofErr w:type="spellEnd"/>
      <w:r w:rsidR="00602EEA">
        <w:t xml:space="preserve"> estimates in</w:t>
      </w:r>
      <w:r w:rsidR="00CB4D36">
        <w:t xml:space="preserve"> Table 6</w:t>
      </w:r>
      <w:r w:rsidR="00E26BFC">
        <w:t>.</w:t>
      </w:r>
      <w:r w:rsidR="00A136BB">
        <w:rPr>
          <w:rStyle w:val="FootnoteReference"/>
        </w:rPr>
        <w:footnoteReference w:id="29"/>
      </w:r>
      <w:r w:rsidR="00001824">
        <w:t xml:space="preserve"> </w:t>
      </w:r>
      <w:r w:rsidR="003B6F61">
        <w:t xml:space="preserve">If </w:t>
      </w:r>
      <w:r w:rsidR="00EA6780">
        <w:t xml:space="preserve">conferees wholly </w:t>
      </w:r>
      <w:r w:rsidR="003B6F61">
        <w:t>disregard</w:t>
      </w:r>
      <w:r w:rsidR="00EA6780">
        <w:t xml:space="preserve"> veto rhetoric, we </w:t>
      </w:r>
      <w:r w:rsidR="00602EEA">
        <w:t>should find that conference’s preference for a modified (or when threatened, a moderated) provision</w:t>
      </w:r>
      <w:r w:rsidR="00EA6780">
        <w:t xml:space="preserve"> would be statistically indistinguishable</w:t>
      </w:r>
      <w:r w:rsidR="00602EEA">
        <w:t xml:space="preserve"> for threatened and unthreatened provisions</w:t>
      </w:r>
      <w:r w:rsidR="00EA6780">
        <w:t xml:space="preserve">. </w:t>
      </w:r>
      <w:r w:rsidR="0009540C">
        <w:t xml:space="preserve"> </w:t>
      </w:r>
      <w:r w:rsidR="003B6F61">
        <w:t>For three of the four sequences, veto threats clearly guide conference’s choices of provisions in favor of moderation. The greatest differences between threatened and unthreatened provisions occur for bicameral haggle</w:t>
      </w:r>
      <w:r w:rsidR="007816EC">
        <w:t>s</w:t>
      </w:r>
      <w:r w:rsidR="003B6F61">
        <w:t>; conference endorses 78 percent of the second chamber’s action on threatened provisions compared to on 18 percent on unthreatened.</w:t>
      </w:r>
      <w:r w:rsidR="007816EC">
        <w:t xml:space="preserve"> </w:t>
      </w:r>
    </w:p>
    <w:p w:rsidR="007816EC" w:rsidRDefault="00CC0D61" w:rsidP="00001824">
      <w:r>
        <w:t xml:space="preserve">The </w:t>
      </w:r>
      <w:r w:rsidR="003B6F61">
        <w:t xml:space="preserve">single </w:t>
      </w:r>
      <w:r>
        <w:t xml:space="preserve">null result arises for </w:t>
      </w:r>
      <w:r w:rsidR="003B6F61">
        <w:t>stonewalls</w:t>
      </w:r>
      <w:r w:rsidR="007816EC">
        <w:t>, wh</w:t>
      </w:r>
      <w:r w:rsidR="003B6F61">
        <w:t>ere</w:t>
      </w:r>
      <w:r>
        <w:t xml:space="preserve"> the second chamber agrees with the first chamber’s </w:t>
      </w:r>
      <w:r w:rsidR="003B6F61">
        <w:t>extreme</w:t>
      </w:r>
      <w:r>
        <w:t xml:space="preserve"> proposal. One might </w:t>
      </w:r>
      <w:r w:rsidR="003B6F61">
        <w:t>suspect</w:t>
      </w:r>
      <w:r>
        <w:t xml:space="preserve"> that conference would take into account the president’s </w:t>
      </w:r>
      <w:r w:rsidR="003B6F61">
        <w:t>pending decision and moderate many of these provisions. If a veto thre</w:t>
      </w:r>
      <w:r w:rsidR="008A2149">
        <w:t>at fails to move either chamber</w:t>
      </w:r>
      <w:r w:rsidR="003B6F61">
        <w:t xml:space="preserve"> its impact in conference, we find here, is </w:t>
      </w:r>
      <w:r w:rsidR="008A2149">
        <w:t>minimal</w:t>
      </w:r>
      <w:r w:rsidR="007816EC">
        <w:t>. Al</w:t>
      </w:r>
      <w:r w:rsidR="008A2149">
        <w:t xml:space="preserve">though still significantly </w:t>
      </w:r>
      <w:r w:rsidR="007816EC">
        <w:t>greater</w:t>
      </w:r>
      <w:r w:rsidR="008A2149">
        <w:t xml:space="preserve"> than zero</w:t>
      </w:r>
      <w:r w:rsidR="007816EC">
        <w:t>, the probability of a modification is no greater than for unthreatened provisions</w:t>
      </w:r>
      <w:r w:rsidR="004C7A71">
        <w:t xml:space="preserve"> where the chambers retained the original provision</w:t>
      </w:r>
      <w:r w:rsidR="003B6F61">
        <w:t xml:space="preserve">. </w:t>
      </w:r>
    </w:p>
    <w:p w:rsidR="00EE19CA" w:rsidRDefault="007816EC" w:rsidP="00001824">
      <w:r>
        <w:t xml:space="preserve">Our model actually has little to say for this class of legislation, since veto threat bargaining incorporates the president’s preferences in each chamber’s deliberations. </w:t>
      </w:r>
      <w:r w:rsidR="0027661F">
        <w:t xml:space="preserve">The more relevant model for </w:t>
      </w:r>
      <w:r w:rsidR="003B6F61">
        <w:t>predicting co</w:t>
      </w:r>
      <w:r w:rsidR="0027661F">
        <w:t xml:space="preserve">nference </w:t>
      </w:r>
      <w:r w:rsidR="003B6F61">
        <w:t xml:space="preserve">action on this class of legislation </w:t>
      </w:r>
      <w:r w:rsidR="0027661F">
        <w:t>is the classic separation of powers game</w:t>
      </w:r>
      <w:r w:rsidR="00340FE0">
        <w:t xml:space="preserve">. </w:t>
      </w:r>
      <w:r w:rsidR="004C7A71">
        <w:t xml:space="preserve">It has </w:t>
      </w:r>
      <w:r w:rsidR="00340FE0">
        <w:t xml:space="preserve">Congress </w:t>
      </w:r>
      <w:r w:rsidR="004C7A71">
        <w:t xml:space="preserve">discovering its collective preference and adjusting it to win the president’s signature. </w:t>
      </w:r>
      <w:r w:rsidR="0027661F">
        <w:t>The absence of a</w:t>
      </w:r>
      <w:r w:rsidR="00340FE0">
        <w:t>n impact for</w:t>
      </w:r>
      <w:r w:rsidR="0027661F">
        <w:t xml:space="preserve"> veto threat</w:t>
      </w:r>
      <w:r w:rsidR="00340FE0">
        <w:t xml:space="preserve"> in shifting conference away from stonewalls suggests that </w:t>
      </w:r>
      <w:r w:rsidR="0027661F">
        <w:t xml:space="preserve">conferees do not make such calculations. </w:t>
      </w:r>
    </w:p>
    <w:p w:rsidR="00985380" w:rsidRDefault="00EE19CA" w:rsidP="001327D2">
      <w:r>
        <w:t xml:space="preserve">Comparing modifications of </w:t>
      </w:r>
      <w:r w:rsidR="00AF0E66">
        <w:t xml:space="preserve">threatened provisions across </w:t>
      </w:r>
      <w:r w:rsidR="00340FE0">
        <w:t xml:space="preserve">the </w:t>
      </w:r>
      <w:r w:rsidR="00AF0E66">
        <w:t xml:space="preserve">legislative histories </w:t>
      </w:r>
      <w:r w:rsidR="00340FE0">
        <w:t xml:space="preserve">in Figure 6 </w:t>
      </w:r>
      <w:r w:rsidR="00AF0E66">
        <w:t xml:space="preserve">is also informative. </w:t>
      </w:r>
      <w:r w:rsidR="007472D3">
        <w:t xml:space="preserve">Of the four types of sequences, conference should be most likely to </w:t>
      </w:r>
      <w:r w:rsidR="004C7A71">
        <w:t>endorse</w:t>
      </w:r>
      <w:r w:rsidR="007472D3">
        <w:t xml:space="preserve"> a moderating policy when the chambers have already modified the provision in response to the threat. Indeed, in Figure 6 conference ratifies </w:t>
      </w:r>
      <w:r w:rsidR="004E29DC" w:rsidRPr="004E29DC">
        <w:t>93</w:t>
      </w:r>
      <w:r w:rsidR="00457C66">
        <w:rPr>
          <w:color w:val="FF0000"/>
        </w:rPr>
        <w:t xml:space="preserve"> </w:t>
      </w:r>
      <w:r w:rsidR="00001824">
        <w:t xml:space="preserve">percent of </w:t>
      </w:r>
      <w:r w:rsidR="00AF0E66">
        <w:t>the same chamber haggles</w:t>
      </w:r>
      <w:r w:rsidR="00001824">
        <w:t>.</w:t>
      </w:r>
      <w:r w:rsidR="007D193B">
        <w:t xml:space="preserve"> </w:t>
      </w:r>
      <w:r w:rsidR="00AF0E66">
        <w:t xml:space="preserve">When the second chamber fails to go along with the first chamber’s revision, however, conference adopts only about half the moderating provisions. This outcome is inconsistent with prediction </w:t>
      </w:r>
      <w:r w:rsidR="000269F5">
        <w:rPr>
          <w:i/>
        </w:rPr>
        <w:t>3A</w:t>
      </w:r>
      <w:r w:rsidR="00AF0E66">
        <w:t>.</w:t>
      </w:r>
      <w:r w:rsidR="00D054C4">
        <w:rPr>
          <w:rStyle w:val="FootnoteReference"/>
        </w:rPr>
        <w:footnoteReference w:id="30"/>
      </w:r>
      <w:r w:rsidR="00D054C4">
        <w:t xml:space="preserve"> </w:t>
      </w:r>
      <w:r w:rsidR="00AF0E66">
        <w:t xml:space="preserve"> </w:t>
      </w:r>
      <w:r w:rsidR="00985380">
        <w:t xml:space="preserve">In keeping with its mission, conference is disinclined to upset </w:t>
      </w:r>
      <w:r w:rsidR="00D32F3D">
        <w:t>House-Senate</w:t>
      </w:r>
      <w:r w:rsidR="00985380">
        <w:t xml:space="preserve"> agreement whatever their bearing on the prospects </w:t>
      </w:r>
      <w:r w:rsidR="00D32F3D">
        <w:t>of a veto</w:t>
      </w:r>
      <w:r w:rsidR="00985380">
        <w:t>.</w:t>
      </w:r>
      <w:r w:rsidR="00D32F3D">
        <w:t xml:space="preserve"> Finally, this backdrop of endorsing consensus returns us to the </w:t>
      </w:r>
      <w:proofErr w:type="gramStart"/>
      <w:r w:rsidR="00D054C4">
        <w:t>78</w:t>
      </w:r>
      <w:r w:rsidR="00D32F3D">
        <w:t xml:space="preserve"> acceptance</w:t>
      </w:r>
      <w:proofErr w:type="gramEnd"/>
      <w:r w:rsidR="00D32F3D">
        <w:t xml:space="preserve"> rate for bicameral haggles, the most populous of the sequences on threatened proposals. Entering conference the House and Senate may appear to differ, but in fact</w:t>
      </w:r>
      <w:r w:rsidR="00D054C4">
        <w:t>, more often than not,</w:t>
      </w:r>
      <w:r w:rsidR="00D32F3D">
        <w:t xml:space="preserve"> a </w:t>
      </w:r>
      <w:r w:rsidR="00D054C4">
        <w:t xml:space="preserve">deal has been struck with the White House. </w:t>
      </w:r>
    </w:p>
    <w:p w:rsidR="00A46ECB" w:rsidRPr="00FD4D47" w:rsidRDefault="00AC095F" w:rsidP="00A46ECB">
      <w:pPr>
        <w:jc w:val="center"/>
      </w:pPr>
      <w:r>
        <w:t>[</w:t>
      </w:r>
      <w:r w:rsidR="00F24CC6">
        <w:t>Table 6</w:t>
      </w:r>
      <w:r w:rsidR="00A46ECB">
        <w:t xml:space="preserve"> and Figure 6 here</w:t>
      </w:r>
      <w:r>
        <w:t>]</w:t>
      </w:r>
    </w:p>
    <w:p w:rsidR="00D054C4" w:rsidRDefault="00D054C4" w:rsidP="00D054C4">
      <w:pPr>
        <w:pStyle w:val="Heading3"/>
        <w:framePr w:wrap="around"/>
      </w:pPr>
      <w:r>
        <w:t>Postscript: Bills Become Laws</w:t>
      </w:r>
    </w:p>
    <w:p w:rsidR="00D054C4" w:rsidRPr="00D054C4" w:rsidRDefault="00D054C4" w:rsidP="00D054C4"/>
    <w:p w:rsidR="00131637" w:rsidRDefault="00B9715D" w:rsidP="001F0DC4">
      <w:r>
        <w:t xml:space="preserve">With the arrival of an enrolled bill </w:t>
      </w:r>
      <w:r w:rsidR="00C800EA">
        <w:t xml:space="preserve">on the president’s desk, legislative deliberations </w:t>
      </w:r>
      <w:r w:rsidR="00131637">
        <w:t>and with them,</w:t>
      </w:r>
      <w:r w:rsidR="00C800EA">
        <w:t xml:space="preserve"> </w:t>
      </w:r>
      <w:r>
        <w:t>veto</w:t>
      </w:r>
      <w:r w:rsidR="00A27A85">
        <w:t xml:space="preserve"> threat</w:t>
      </w:r>
      <w:r>
        <w:t xml:space="preserve"> bargaining</w:t>
      </w:r>
      <w:r w:rsidR="00A27A85">
        <w:t xml:space="preserve"> end.  </w:t>
      </w:r>
      <w:r w:rsidR="00E7473C">
        <w:t xml:space="preserve">Of the 876 </w:t>
      </w:r>
      <w:proofErr w:type="gramStart"/>
      <w:r w:rsidR="00E7473C">
        <w:t>veto</w:t>
      </w:r>
      <w:proofErr w:type="gramEnd"/>
      <w:r w:rsidR="00E7473C">
        <w:t xml:space="preserve"> threatened provisions, distributed across the 164 enrolled bills, Congress removed or significantly </w:t>
      </w:r>
      <w:r w:rsidR="00D054C4">
        <w:t>moderated</w:t>
      </w:r>
      <w:r w:rsidR="00E7473C">
        <w:t xml:space="preserve"> 56 percent. </w:t>
      </w:r>
      <w:r w:rsidR="00A96C8B">
        <w:t xml:space="preserve">Now presidents decide whether their </w:t>
      </w:r>
      <w:r w:rsidR="00E7473C">
        <w:t xml:space="preserve">objections </w:t>
      </w:r>
      <w:r w:rsidR="00A96C8B">
        <w:t>have been adequately</w:t>
      </w:r>
      <w:r w:rsidR="00E7473C">
        <w:t xml:space="preserve"> accommodated so that the final bill </w:t>
      </w:r>
      <w:r w:rsidR="00A96C8B">
        <w:t>falls</w:t>
      </w:r>
      <w:r w:rsidR="00AC3A08">
        <w:t xml:space="preserve"> within their </w:t>
      </w:r>
      <w:r w:rsidR="00131637">
        <w:t>zone</w:t>
      </w:r>
      <w:r w:rsidR="00AC3A08">
        <w:t xml:space="preserve"> of acceptable policy</w:t>
      </w:r>
      <w:r w:rsidR="00131637">
        <w:t xml:space="preserve">? Moreover, </w:t>
      </w:r>
      <w:r w:rsidR="00A96C8B">
        <w:t xml:space="preserve">they ponder: </w:t>
      </w:r>
      <w:r w:rsidR="00131637">
        <w:t xml:space="preserve">might </w:t>
      </w:r>
      <w:r w:rsidR="00E7473C">
        <w:t>they</w:t>
      </w:r>
      <w:r w:rsidR="00131637">
        <w:t xml:space="preserve"> do better by vetoing the bill and </w:t>
      </w:r>
      <w:r w:rsidR="00A96C8B">
        <w:t>awaiting</w:t>
      </w:r>
      <w:r w:rsidR="00131637">
        <w:t xml:space="preserve"> a more attractive </w:t>
      </w:r>
      <w:r w:rsidR="008A2149">
        <w:t>bundle of policies</w:t>
      </w:r>
      <w:r w:rsidR="00131637">
        <w:t xml:space="preserve"> </w:t>
      </w:r>
      <w:r w:rsidR="00E7473C">
        <w:t>from</w:t>
      </w:r>
      <w:r w:rsidR="00131637">
        <w:t xml:space="preserve"> the next Congress? If their first answer is no, they veto. Even if their </w:t>
      </w:r>
      <w:r w:rsidR="00E7473C">
        <w:t>minimal requirements are met</w:t>
      </w:r>
      <w:r w:rsidR="00131637">
        <w:t xml:space="preserve">, however, </w:t>
      </w:r>
      <w:r w:rsidR="00CB5D65">
        <w:t xml:space="preserve">the </w:t>
      </w:r>
      <w:r w:rsidR="00131637">
        <w:t>prospect of an even better bill</w:t>
      </w:r>
      <w:r w:rsidR="00C800EA">
        <w:t xml:space="preserve"> </w:t>
      </w:r>
      <w:r w:rsidR="00CB5D65">
        <w:t>from</w:t>
      </w:r>
      <w:r w:rsidR="00131637">
        <w:t xml:space="preserve"> the next Congress might </w:t>
      </w:r>
      <w:r w:rsidR="00CB5D65">
        <w:t xml:space="preserve">also </w:t>
      </w:r>
      <w:r w:rsidR="00131637">
        <w:t xml:space="preserve">prompt </w:t>
      </w:r>
      <w:r w:rsidR="00E7473C">
        <w:t>them to</w:t>
      </w:r>
      <w:r w:rsidR="00131637">
        <w:t xml:space="preserve"> veto</w:t>
      </w:r>
      <w:r w:rsidR="00CB5D65">
        <w:t xml:space="preserve"> (Cameron 2001)</w:t>
      </w:r>
      <w:r w:rsidR="00131637">
        <w:t xml:space="preserve">. </w:t>
      </w:r>
    </w:p>
    <w:p w:rsidR="009A1E98" w:rsidRDefault="00A96C8B" w:rsidP="002F78EC">
      <w:r>
        <w:t xml:space="preserve">Veto threat bargaining does not assure success. </w:t>
      </w:r>
      <w:r w:rsidR="00BD7F82">
        <w:t xml:space="preserve">Presidents vetoed </w:t>
      </w:r>
      <w:r w:rsidR="00B22E05">
        <w:t>nearly</w:t>
      </w:r>
      <w:r w:rsidR="00E43FCC">
        <w:t xml:space="preserve"> thirty percent </w:t>
      </w:r>
      <w:r w:rsidR="00D16101">
        <w:t>of the</w:t>
      </w:r>
      <w:r w:rsidR="00983ABB">
        <w:t xml:space="preserve"> threatened</w:t>
      </w:r>
      <w:r w:rsidR="00D16101">
        <w:t xml:space="preserve"> </w:t>
      </w:r>
      <w:r w:rsidR="00BD7F82">
        <w:t>bills</w:t>
      </w:r>
      <w:r w:rsidR="004950A1">
        <w:t xml:space="preserve"> reaching their desk</w:t>
      </w:r>
      <w:r w:rsidR="00E43FCC">
        <w:t xml:space="preserve">. </w:t>
      </w:r>
      <w:r w:rsidR="00C84E7D">
        <w:t xml:space="preserve">In </w:t>
      </w:r>
      <w:r w:rsidR="00C84E7D" w:rsidRPr="002C0C51">
        <w:t xml:space="preserve">some </w:t>
      </w:r>
      <w:r w:rsidR="00C84E7D">
        <w:t xml:space="preserve">instances vetoes </w:t>
      </w:r>
      <w:r w:rsidR="00D16101" w:rsidRPr="002C0C51">
        <w:t xml:space="preserve">may </w:t>
      </w:r>
      <w:r w:rsidR="00C84E7D">
        <w:t xml:space="preserve">reflect miscalculations by presidents or Congressional </w:t>
      </w:r>
      <w:r w:rsidR="00E43FCC">
        <w:t xml:space="preserve">opposition </w:t>
      </w:r>
      <w:r w:rsidR="00C84E7D">
        <w:t xml:space="preserve">leaders. </w:t>
      </w:r>
      <w:r w:rsidR="00D16101">
        <w:t xml:space="preserve"> </w:t>
      </w:r>
      <w:r w:rsidR="00DB36EF">
        <w:t xml:space="preserve">In other cases </w:t>
      </w:r>
      <w:r w:rsidR="00A54788">
        <w:t xml:space="preserve">the </w:t>
      </w:r>
      <w:r w:rsidR="00FD40BC">
        <w:t xml:space="preserve">Congressional </w:t>
      </w:r>
      <w:r w:rsidR="00AA7D14">
        <w:t xml:space="preserve">opposition </w:t>
      </w:r>
      <w:r w:rsidR="00E43FCC">
        <w:t xml:space="preserve">party </w:t>
      </w:r>
      <w:r w:rsidR="00FD40BC">
        <w:t>held veto proof majorities and could ignore both threats and vetoes.</w:t>
      </w:r>
      <w:r w:rsidR="00BD7F82">
        <w:t xml:space="preserve"> Congress overrode </w:t>
      </w:r>
      <w:r w:rsidR="00C6672B" w:rsidRPr="00C6672B">
        <w:t>eight</w:t>
      </w:r>
      <w:r w:rsidR="00BD7F82">
        <w:t xml:space="preserve"> vetoes. </w:t>
      </w:r>
      <w:r w:rsidR="00DB36EF">
        <w:t xml:space="preserve">And on </w:t>
      </w:r>
      <w:r w:rsidR="00C6672B" w:rsidRPr="00C6672B">
        <w:t>24</w:t>
      </w:r>
      <w:r w:rsidR="00BD7F82" w:rsidRPr="00C6672B">
        <w:t xml:space="preserve"> </w:t>
      </w:r>
      <w:r w:rsidR="00DB36EF" w:rsidRPr="00C6672B">
        <w:t xml:space="preserve">other </w:t>
      </w:r>
      <w:r w:rsidR="00DB36EF">
        <w:rPr>
          <w:color w:val="000000" w:themeColor="text1"/>
        </w:rPr>
        <w:t xml:space="preserve">veto proof </w:t>
      </w:r>
      <w:r w:rsidR="00BD7F82">
        <w:t>b</w:t>
      </w:r>
      <w:r w:rsidR="00DB36EF">
        <w:t>i</w:t>
      </w:r>
      <w:r w:rsidR="00BD7F82">
        <w:t>lls</w:t>
      </w:r>
      <w:r w:rsidR="00DB36EF">
        <w:t xml:space="preserve"> – </w:t>
      </w:r>
      <w:r w:rsidR="00C6672B">
        <w:t>slightly more than half</w:t>
      </w:r>
      <w:r w:rsidR="00DB36EF">
        <w:t xml:space="preserve"> </w:t>
      </w:r>
      <w:r w:rsidR="00C6672B">
        <w:t>of which</w:t>
      </w:r>
      <w:r w:rsidR="00DB36EF">
        <w:t xml:space="preserve"> passed by unanimous consent </w:t>
      </w:r>
      <w:r w:rsidR="00C6672B">
        <w:t>during both chambers’ initial consideration – presidents</w:t>
      </w:r>
      <w:r w:rsidR="00DB36EF">
        <w:t xml:space="preserve"> </w:t>
      </w:r>
      <w:r w:rsidR="00FD40BC">
        <w:t>appear to have thrown</w:t>
      </w:r>
      <w:r w:rsidR="00DB36EF">
        <w:t xml:space="preserve"> in the towel</w:t>
      </w:r>
      <w:r w:rsidR="00C6672B">
        <w:t>,</w:t>
      </w:r>
      <w:r w:rsidR="00DB36EF">
        <w:t xml:space="preserve"> signing them without compensating compromises</w:t>
      </w:r>
      <w:r w:rsidR="00FD40BC">
        <w:t xml:space="preserve"> </w:t>
      </w:r>
      <w:r w:rsidR="004C7A71">
        <w:t>to</w:t>
      </w:r>
      <w:r w:rsidR="00FD40BC">
        <w:t xml:space="preserve"> any of the</w:t>
      </w:r>
      <w:r w:rsidR="004C7A71">
        <w:t>ir objectio</w:t>
      </w:r>
      <w:r w:rsidR="00FD40BC">
        <w:t>ns</w:t>
      </w:r>
      <w:r w:rsidR="00DB36EF">
        <w:t>.</w:t>
      </w:r>
      <w:r w:rsidR="00BD7F82">
        <w:t xml:space="preserve"> </w:t>
      </w:r>
    </w:p>
    <w:p w:rsidR="002F78EC" w:rsidRDefault="00DB36EF" w:rsidP="002F78EC">
      <w:r>
        <w:t>A much greater number of the</w:t>
      </w:r>
      <w:r w:rsidR="009832DC">
        <w:t xml:space="preserve"> threatened bills did not command veto proof majorities</w:t>
      </w:r>
      <w:r>
        <w:t>, however. These required</w:t>
      </w:r>
      <w:r w:rsidR="009832DC">
        <w:t xml:space="preserve"> pru</w:t>
      </w:r>
      <w:r w:rsidR="00A54788">
        <w:t xml:space="preserve">dent opposition leaders </w:t>
      </w:r>
      <w:r w:rsidR="009832DC">
        <w:t xml:space="preserve">to address some or all of the presidents’ objections. Figure 7 offers a summary accounting of the </w:t>
      </w:r>
      <w:r w:rsidR="002F78EC">
        <w:t>relationship between Congress’ and presidents’ actions</w:t>
      </w:r>
      <w:r>
        <w:t xml:space="preserve"> on </w:t>
      </w:r>
      <w:r w:rsidR="004C7A71">
        <w:t xml:space="preserve">those </w:t>
      </w:r>
      <w:r>
        <w:t xml:space="preserve">bills </w:t>
      </w:r>
      <w:r w:rsidR="004C7A71">
        <w:t>that failed to attract</w:t>
      </w:r>
      <w:r w:rsidR="002F78EC">
        <w:t xml:space="preserve"> veto proof majorities</w:t>
      </w:r>
      <w:r>
        <w:t xml:space="preserve">. Where Congress </w:t>
      </w:r>
      <w:r>
        <w:rPr>
          <w:i/>
        </w:rPr>
        <w:t xml:space="preserve">needed </w:t>
      </w:r>
      <w:r>
        <w:t>the presidents’ signature</w:t>
      </w:r>
      <w:r w:rsidR="002F78EC">
        <w:t xml:space="preserve">, </w:t>
      </w:r>
      <w:r>
        <w:t>it won it by addressing their objections. President</w:t>
      </w:r>
      <w:r w:rsidR="002F78EC">
        <w:t xml:space="preserve">s signed almost all </w:t>
      </w:r>
      <w:r w:rsidR="002F78EC" w:rsidRPr="002C0C51">
        <w:t>(</w:t>
      </w:r>
      <w:r w:rsidR="002C0C51" w:rsidRPr="002C0C51">
        <w:t>33</w:t>
      </w:r>
      <w:r w:rsidR="002F78EC" w:rsidRPr="002C0C51">
        <w:t xml:space="preserve"> of </w:t>
      </w:r>
      <w:r w:rsidR="002C0C51" w:rsidRPr="002C0C51">
        <w:t>36</w:t>
      </w:r>
      <w:r w:rsidR="002F78EC" w:rsidRPr="002C0C51">
        <w:t xml:space="preserve"> bills) fully accommodated</w:t>
      </w:r>
      <w:r w:rsidR="004C7A71">
        <w:t xml:space="preserve"> bills. Conversely</w:t>
      </w:r>
      <w:r w:rsidR="002F78EC" w:rsidRPr="002C0C51">
        <w:t xml:space="preserve">, they vetoed </w:t>
      </w:r>
      <w:proofErr w:type="gramStart"/>
      <w:r w:rsidR="002F78EC" w:rsidRPr="002C0C51">
        <w:t>almost</w:t>
      </w:r>
      <w:proofErr w:type="gramEnd"/>
      <w:r w:rsidR="002F78EC" w:rsidRPr="002C0C51">
        <w:t xml:space="preserve"> all in which they were stonewalled (</w:t>
      </w:r>
      <w:r w:rsidR="002C0C51" w:rsidRPr="002C0C51">
        <w:t>26</w:t>
      </w:r>
      <w:r w:rsidR="002F78EC" w:rsidRPr="002C0C51">
        <w:t xml:space="preserve"> of </w:t>
      </w:r>
      <w:r w:rsidR="002C0C51" w:rsidRPr="002C0C51">
        <w:t>28</w:t>
      </w:r>
      <w:r w:rsidR="002F78EC" w:rsidRPr="002C0C51">
        <w:t xml:space="preserve"> bills)</w:t>
      </w:r>
      <w:r w:rsidR="002F78EC">
        <w:t xml:space="preserve">. </w:t>
      </w:r>
    </w:p>
    <w:p w:rsidR="00EA7E1B" w:rsidRDefault="00AC095F" w:rsidP="00EA7E1B">
      <w:pPr>
        <w:jc w:val="center"/>
      </w:pPr>
      <w:r>
        <w:t>[</w:t>
      </w:r>
      <w:r w:rsidR="00EA7E1B">
        <w:t>Figure 7 here</w:t>
      </w:r>
      <w:r>
        <w:t>]</w:t>
      </w:r>
    </w:p>
    <w:p w:rsidR="00D054C4" w:rsidRDefault="00D054C4" w:rsidP="00D054C4">
      <w:pPr>
        <w:pStyle w:val="Heading2"/>
      </w:pPr>
      <w:r>
        <w:t xml:space="preserve">VI. Conclusion </w:t>
      </w:r>
    </w:p>
    <w:p w:rsidR="0089485E" w:rsidRDefault="0089485E" w:rsidP="0089485E">
      <w:r>
        <w:t xml:space="preserve">During periods of unified government presidents </w:t>
      </w:r>
      <w:r w:rsidR="00EA7E1B">
        <w:t>are expected</w:t>
      </w:r>
      <w:r>
        <w:t xml:space="preserve"> to lead Congress. </w:t>
      </w:r>
      <w:r w:rsidR="00EA7E1B">
        <w:t xml:space="preserve">Once when unified government was the norm, the adage, “The president proposes, Congress disposes” pretty well described the routine relations between these branches. It fell upon presidents to identify new problems and new solutions to old problems, to </w:t>
      </w:r>
      <w:r w:rsidR="004C7A71">
        <w:t xml:space="preserve">persuade </w:t>
      </w:r>
      <w:r w:rsidR="00EA7E1B">
        <w:t xml:space="preserve">their party’s </w:t>
      </w:r>
      <w:r>
        <w:t xml:space="preserve">legislative </w:t>
      </w:r>
      <w:r w:rsidR="00EA7E1B">
        <w:t xml:space="preserve">leaders to embrace them, and whenever close votes loomed, to </w:t>
      </w:r>
      <w:r>
        <w:t xml:space="preserve">cultivate marginal legislators with promises and </w:t>
      </w:r>
      <w:r w:rsidR="00EA7E1B">
        <w:t xml:space="preserve">various, more </w:t>
      </w:r>
      <w:r>
        <w:t xml:space="preserve">tangible </w:t>
      </w:r>
      <w:r w:rsidR="00EA7E1B">
        <w:t>inducements</w:t>
      </w:r>
      <w:r>
        <w:t xml:space="preserve">. </w:t>
      </w:r>
      <w:r w:rsidR="0028122D">
        <w:t>With the president’s initiative and energy, Congress enact</w:t>
      </w:r>
      <w:r w:rsidR="004C7A71">
        <w:t>ed</w:t>
      </w:r>
      <w:r w:rsidR="0028122D">
        <w:t xml:space="preserve"> laws that </w:t>
      </w:r>
      <w:r>
        <w:t>reward the</w:t>
      </w:r>
      <w:r w:rsidR="0028122D">
        <w:t xml:space="preserve"> party’s</w:t>
      </w:r>
      <w:r>
        <w:t xml:space="preserve"> core constituencies and establish</w:t>
      </w:r>
      <w:r w:rsidR="004C7A71">
        <w:t>ed</w:t>
      </w:r>
      <w:r>
        <w:t xml:space="preserve"> a record of accomplishment that </w:t>
      </w:r>
      <w:r w:rsidR="004C7A71">
        <w:t>presumably</w:t>
      </w:r>
      <w:r>
        <w:t xml:space="preserve"> put the</w:t>
      </w:r>
      <w:r w:rsidR="0028122D">
        <w:t xml:space="preserve"> governing party</w:t>
      </w:r>
      <w:r>
        <w:t xml:space="preserve"> in good stead </w:t>
      </w:r>
      <w:r w:rsidR="0028122D">
        <w:t>with voters in the next</w:t>
      </w:r>
      <w:r>
        <w:t xml:space="preserve"> election</w:t>
      </w:r>
      <w:r w:rsidR="0028122D">
        <w:t xml:space="preserve"> cycle</w:t>
      </w:r>
      <w:r>
        <w:t xml:space="preserve">. </w:t>
      </w:r>
    </w:p>
    <w:p w:rsidR="0089485E" w:rsidRDefault="0028122D" w:rsidP="0089485E">
      <w:r>
        <w:t>The conventional view of relations between these branches d</w:t>
      </w:r>
      <w:r w:rsidR="0089485E">
        <w:t xml:space="preserve">uring divided government </w:t>
      </w:r>
      <w:r>
        <w:t>is vastly different. Divided party control shoves</w:t>
      </w:r>
      <w:r w:rsidR="0089485E">
        <w:t xml:space="preserve"> president</w:t>
      </w:r>
      <w:r>
        <w:t>s</w:t>
      </w:r>
      <w:r w:rsidR="0089485E">
        <w:t xml:space="preserve"> from center stage until </w:t>
      </w:r>
      <w:r>
        <w:t xml:space="preserve">a brief appearance in </w:t>
      </w:r>
      <w:r w:rsidR="0089485E">
        <w:t xml:space="preserve">the last act.  Presidents’ initiatives arrive at Congress “DOA” (Democratic House Ways and Means chair Dan Rostenkowski’ reference to the 1987 Reagan budget). Instead, the opposition-controlled Congress </w:t>
      </w:r>
      <w:r>
        <w:t xml:space="preserve">sets the policy </w:t>
      </w:r>
      <w:r w:rsidR="004C7A71">
        <w:t xml:space="preserve">agenda </w:t>
      </w:r>
      <w:r>
        <w:t xml:space="preserve">and depending on the size of its majorities, </w:t>
      </w:r>
      <w:r w:rsidR="0089485E">
        <w:t xml:space="preserve">decides </w:t>
      </w:r>
      <w:r>
        <w:t xml:space="preserve">whether to present the president with a fait accompli or offer minimal concessions to win his signature. Either way, presidents </w:t>
      </w:r>
      <w:r w:rsidR="004C7A71">
        <w:t>must content themselves with</w:t>
      </w:r>
      <w:r>
        <w:t xml:space="preserve"> a </w:t>
      </w:r>
      <w:r w:rsidR="0089485E">
        <w:t>“take it or leave it</w:t>
      </w:r>
      <w:proofErr w:type="gramStart"/>
      <w:r w:rsidR="0089485E">
        <w:t>”</w:t>
      </w:r>
      <w:proofErr w:type="gramEnd"/>
      <w:r w:rsidR="0089485E">
        <w:t xml:space="preserve"> offer. </w:t>
      </w:r>
    </w:p>
    <w:p w:rsidR="0013564A" w:rsidRDefault="005D4379" w:rsidP="009F3D64">
      <w:r>
        <w:t xml:space="preserve">Veto </w:t>
      </w:r>
      <w:r w:rsidR="0089485E">
        <w:t xml:space="preserve">rhetoric </w:t>
      </w:r>
      <w:r w:rsidR="0028122D">
        <w:t xml:space="preserve">offers to rescue presidents </w:t>
      </w:r>
      <w:r>
        <w:t>from divided government’s confinement to the sidelines. With timely,</w:t>
      </w:r>
      <w:r w:rsidR="0089485E">
        <w:t xml:space="preserve"> </w:t>
      </w:r>
      <w:r>
        <w:t xml:space="preserve">credible </w:t>
      </w:r>
      <w:r w:rsidR="0089485E">
        <w:t xml:space="preserve">veto threats </w:t>
      </w:r>
      <w:r>
        <w:t>presidents may</w:t>
      </w:r>
      <w:r w:rsidR="0089485E">
        <w:t xml:space="preserve"> alter the expectations of all legislators </w:t>
      </w:r>
      <w:r>
        <w:t xml:space="preserve">of the </w:t>
      </w:r>
      <w:r w:rsidR="0089485E">
        <w:t xml:space="preserve">success of various bundles of provisions. Moreover, veto threats </w:t>
      </w:r>
      <w:r>
        <w:t>give them the means to mobilize their partisans to stand against the objectionable policies the opposition majority is ushering through deliberations. In many instances, the coordinate efforts of presidents and their partisan allies in Congress will effectively block legislation. But here we have seen that gridlock is not the only consequen</w:t>
      </w:r>
      <w:r w:rsidR="004C7A71">
        <w:t>ce of effective veto rhetoric. O</w:t>
      </w:r>
      <w:r>
        <w:t xml:space="preserve">n many </w:t>
      </w:r>
      <w:r w:rsidR="004C7A71">
        <w:t>occasions</w:t>
      </w:r>
      <w:r>
        <w:t xml:space="preserve"> veto </w:t>
      </w:r>
      <w:r w:rsidR="004C7A71">
        <w:t xml:space="preserve">rhetoric appears to induce </w:t>
      </w:r>
      <w:r>
        <w:t>haggling that conclude</w:t>
      </w:r>
      <w:r w:rsidR="004A6EF3">
        <w:t>s</w:t>
      </w:r>
      <w:r>
        <w:t xml:space="preserve"> with presidents signing </w:t>
      </w:r>
      <w:r w:rsidR="004A6EF3">
        <w:t xml:space="preserve">a </w:t>
      </w:r>
      <w:r>
        <w:t xml:space="preserve">compromise </w:t>
      </w:r>
      <w:r w:rsidR="004A6EF3">
        <w:t>bill</w:t>
      </w:r>
      <w:r>
        <w:t>.  When “divided we govern” occurs</w:t>
      </w:r>
      <w:r w:rsidR="00C84E7D">
        <w:t xml:space="preserve">, it is not because parties do not matter, but rather because through veto threat bargaining, opposing partisan politicians in Washington have </w:t>
      </w:r>
      <w:r w:rsidR="004A6EF3">
        <w:t>found a way to negotiate</w:t>
      </w:r>
      <w:r w:rsidR="00C84E7D">
        <w:t xml:space="preserve"> </w:t>
      </w:r>
      <w:r w:rsidR="004A6EF3">
        <w:t>distantly, across their institutional bastions, and agree on new policy.</w:t>
      </w:r>
      <w:r w:rsidR="00C84E7D">
        <w:t xml:space="preserve"> </w:t>
      </w:r>
      <w:r w:rsidR="0089485E">
        <w:br w:type="page"/>
      </w:r>
    </w:p>
    <w:p w:rsidR="003D2D79" w:rsidRDefault="003D2D79" w:rsidP="003D2D79">
      <w:pPr>
        <w:spacing w:line="240" w:lineRule="auto"/>
        <w:ind w:firstLine="0"/>
        <w:jc w:val="center"/>
        <w:rPr>
          <w:b/>
          <w:sz w:val="32"/>
        </w:rPr>
      </w:pPr>
      <w:r w:rsidRPr="003548B8">
        <w:rPr>
          <w:b/>
          <w:sz w:val="32"/>
        </w:rPr>
        <w:t>Figure 1</w:t>
      </w:r>
      <w:r>
        <w:rPr>
          <w:b/>
          <w:sz w:val="32"/>
        </w:rPr>
        <w:t>.</w:t>
      </w:r>
      <w:r w:rsidRPr="003548B8">
        <w:rPr>
          <w:b/>
          <w:sz w:val="32"/>
        </w:rPr>
        <w:t xml:space="preserve"> </w:t>
      </w:r>
    </w:p>
    <w:p w:rsidR="003D2D79" w:rsidRDefault="003D2D79" w:rsidP="003D2D79">
      <w:pPr>
        <w:spacing w:line="240" w:lineRule="auto"/>
        <w:ind w:firstLine="0"/>
        <w:jc w:val="center"/>
        <w:rPr>
          <w:b/>
          <w:sz w:val="32"/>
        </w:rPr>
      </w:pPr>
      <w:r>
        <w:rPr>
          <w:b/>
          <w:sz w:val="32"/>
        </w:rPr>
        <w:t>Veto Threats and Vetoes of Authorization Bills by Congress</w:t>
      </w:r>
    </w:p>
    <w:p w:rsidR="003D2D79" w:rsidRDefault="003D2D79" w:rsidP="003D2D79">
      <w:pPr>
        <w:spacing w:line="240" w:lineRule="auto"/>
        <w:ind w:firstLine="0"/>
        <w:jc w:val="center"/>
        <w:rPr>
          <w:b/>
          <w:sz w:val="32"/>
        </w:rPr>
      </w:pPr>
      <w:r>
        <w:rPr>
          <w:b/>
          <w:noProof/>
          <w:sz w:val="32"/>
        </w:rPr>
        <w:drawing>
          <wp:inline distT="0" distB="0" distL="0" distR="0">
            <wp:extent cx="6309360" cy="4585522"/>
            <wp:effectExtent l="2540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09360" cy="4585522"/>
                    </a:xfrm>
                    <a:prstGeom prst="rect">
                      <a:avLst/>
                    </a:prstGeom>
                    <a:noFill/>
                    <a:ln w="9525">
                      <a:noFill/>
                      <a:miter lim="800000"/>
                      <a:headEnd/>
                      <a:tailEnd/>
                    </a:ln>
                  </pic:spPr>
                </pic:pic>
              </a:graphicData>
            </a:graphic>
          </wp:inline>
        </w:drawing>
      </w:r>
    </w:p>
    <w:p w:rsidR="00F37FAB" w:rsidRPr="007D775F" w:rsidRDefault="00F37FAB" w:rsidP="00F37FAB">
      <w:pPr>
        <w:pStyle w:val="footnote"/>
      </w:pPr>
      <w:r>
        <w:t xml:space="preserve">Source: </w:t>
      </w:r>
      <w:proofErr w:type="spellStart"/>
      <w:r>
        <w:t>Korte</w:t>
      </w:r>
      <w:proofErr w:type="spellEnd"/>
      <w:r>
        <w:t xml:space="preserve"> (2015).</w:t>
      </w:r>
    </w:p>
    <w:p w:rsidR="00E75767" w:rsidRDefault="003D2D79" w:rsidP="004B2683">
      <w:pPr>
        <w:spacing w:line="240" w:lineRule="auto"/>
        <w:ind w:left="1440" w:firstLine="0"/>
      </w:pPr>
      <w:r>
        <w:t xml:space="preserve">Note: Black bars represent the number of veto threats </w:t>
      </w:r>
      <w:r w:rsidR="00682E80">
        <w:t xml:space="preserve">in </w:t>
      </w:r>
      <w:proofErr w:type="spellStart"/>
      <w:r w:rsidR="00682E80">
        <w:t>SAPs</w:t>
      </w:r>
      <w:proofErr w:type="spellEnd"/>
      <w:r w:rsidR="00682E80">
        <w:t xml:space="preserve"> </w:t>
      </w:r>
      <w:r>
        <w:t xml:space="preserve">and red bars the number of vetoes. There were no threats </w:t>
      </w:r>
      <w:r w:rsidR="00682E80">
        <w:t>or vetoes</w:t>
      </w:r>
      <w:r>
        <w:t xml:space="preserve"> in the 1993-1994.</w:t>
      </w:r>
    </w:p>
    <w:p w:rsidR="00E75767" w:rsidRDefault="00E75767" w:rsidP="00E75767">
      <w:pPr>
        <w:spacing w:line="240" w:lineRule="auto"/>
        <w:ind w:firstLine="0"/>
        <w:jc w:val="center"/>
        <w:rPr>
          <w:b/>
          <w:sz w:val="32"/>
        </w:rPr>
      </w:pPr>
      <w:r>
        <w:br w:type="page"/>
      </w:r>
      <w:r>
        <w:rPr>
          <w:b/>
          <w:sz w:val="32"/>
        </w:rPr>
        <w:t>Table</w:t>
      </w:r>
      <w:r w:rsidRPr="003548B8">
        <w:rPr>
          <w:b/>
          <w:sz w:val="32"/>
        </w:rPr>
        <w:t xml:space="preserve"> 1</w:t>
      </w:r>
      <w:r>
        <w:rPr>
          <w:b/>
          <w:sz w:val="32"/>
        </w:rPr>
        <w:t>.</w:t>
      </w:r>
    </w:p>
    <w:p w:rsidR="004B2683" w:rsidRPr="00E75767" w:rsidRDefault="00E75767" w:rsidP="00E75767">
      <w:pPr>
        <w:spacing w:line="240" w:lineRule="auto"/>
        <w:ind w:firstLine="0"/>
        <w:jc w:val="center"/>
        <w:rPr>
          <w:b/>
          <w:sz w:val="32"/>
        </w:rPr>
      </w:pPr>
      <w:bookmarkStart w:id="1" w:name="_Toc310514227"/>
      <w:r w:rsidRPr="00E75767">
        <w:rPr>
          <w:b/>
          <w:sz w:val="32"/>
        </w:rPr>
        <w:t>Example Text of Authorization Provisions and Veto Threats</w:t>
      </w:r>
      <w:bookmarkEnd w:id="1"/>
    </w:p>
    <w:tbl>
      <w:tblPr>
        <w:tblpPr w:leftFromText="180" w:rightFromText="180" w:vertAnchor="text" w:horzAnchor="margin" w:tblpXSpec="center" w:tblpY="362"/>
        <w:tblW w:w="8498" w:type="dxa"/>
        <w:tblLook w:val="04A0"/>
      </w:tblPr>
      <w:tblGrid>
        <w:gridCol w:w="2189"/>
        <w:gridCol w:w="3510"/>
        <w:gridCol w:w="2799"/>
      </w:tblGrid>
      <w:tr w:rsidR="00E75767" w:rsidRPr="001301D6">
        <w:trPr>
          <w:trHeight w:val="3570"/>
        </w:trPr>
        <w:tc>
          <w:tcPr>
            <w:tcW w:w="218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1301D6">
              <w:rPr>
                <w:b/>
                <w:bCs/>
                <w:sz w:val="22"/>
              </w:rPr>
              <w:t xml:space="preserve">S 900, The Gramm-Leach-Bliley Act: </w:t>
            </w:r>
            <w:r w:rsidRPr="001301D6">
              <w:rPr>
                <w:sz w:val="22"/>
              </w:rPr>
              <w:t xml:space="preserve">the House accommodated the Administration by removing the threatened provision, and the President subsequently signed the bill into law. </w:t>
            </w:r>
          </w:p>
        </w:tc>
        <w:tc>
          <w:tcPr>
            <w:tcW w:w="3510"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Provision</w:t>
            </w:r>
            <w:r w:rsidRPr="001301D6">
              <w:rPr>
                <w:sz w:val="22"/>
              </w:rPr>
              <w:t>:   (a) In General</w:t>
            </w:r>
            <w:proofErr w:type="gramStart"/>
            <w:r w:rsidRPr="001301D6">
              <w:rPr>
                <w:sz w:val="22"/>
              </w:rPr>
              <w:t>.—</w:t>
            </w:r>
            <w:proofErr w:type="gramEnd"/>
            <w:r w:rsidRPr="001301D6">
              <w:rPr>
                <w:sz w:val="22"/>
              </w:rPr>
              <w:t>No community financial institution shall be subject to the Community Reinvestment Act of 1977 (12 U.S.C. 2901 et seq.).(b) Definition of Community Financial Institution</w:t>
            </w:r>
            <w:proofErr w:type="gramStart"/>
            <w:r w:rsidRPr="001301D6">
              <w:rPr>
                <w:sz w:val="22"/>
              </w:rPr>
              <w:t>.-</w:t>
            </w:r>
            <w:proofErr w:type="gramEnd"/>
            <w:r w:rsidRPr="001301D6">
              <w:rPr>
                <w:sz w:val="22"/>
              </w:rPr>
              <w:t>-As used in this section, the term ``community financial institution'' means an insured depository institution (as defined in section 3 of the Federal Deposit Insurance Act), that has aggregate assets of not more than $100,000,000, and that is located in a non-metropolitan area.</w:t>
            </w:r>
          </w:p>
          <w:p w:rsidR="00E75767" w:rsidRPr="001301D6" w:rsidRDefault="00E75767" w:rsidP="007B4C0C">
            <w:pPr>
              <w:spacing w:line="240" w:lineRule="auto"/>
              <w:rPr>
                <w:sz w:val="22"/>
              </w:rPr>
            </w:pPr>
          </w:p>
        </w:tc>
        <w:tc>
          <w:tcPr>
            <w:tcW w:w="279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President's SAP Objection</w:t>
            </w:r>
            <w:r w:rsidRPr="001301D6">
              <w:rPr>
                <w:sz w:val="22"/>
              </w:rPr>
              <w:t>:  The CRA exemption for banks with less than $100 million in assets would repeal CRA for approximately 4,000 banks and thrifts that banking agency rules already exempt from CRA paperwork reporting burdens . . . because of [this and other] crucial flaws in the bill, the President has stated that, if the bill were presented to him in its current form, he would veto it.</w:t>
            </w:r>
          </w:p>
          <w:p w:rsidR="00E75767" w:rsidRPr="001301D6" w:rsidRDefault="00E75767" w:rsidP="007B4C0C">
            <w:pPr>
              <w:spacing w:line="240" w:lineRule="auto"/>
              <w:rPr>
                <w:sz w:val="22"/>
              </w:rPr>
            </w:pPr>
          </w:p>
        </w:tc>
      </w:tr>
      <w:tr w:rsidR="00E75767" w:rsidRPr="001301D6">
        <w:trPr>
          <w:trHeight w:val="2723"/>
        </w:trPr>
        <w:tc>
          <w:tcPr>
            <w:tcW w:w="218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1301D6">
              <w:rPr>
                <w:b/>
                <w:bCs/>
                <w:sz w:val="22"/>
              </w:rPr>
              <w:t>HR 5104, To Extend the Protect America Act of 2007:</w:t>
            </w:r>
            <w:r w:rsidRPr="001301D6">
              <w:rPr>
                <w:bCs/>
                <w:sz w:val="22"/>
              </w:rPr>
              <w:t xml:space="preserve"> the President signed the bill into law despite the lack of accommodation in Congress, which actually reduced the extension from 30 to 15 days.</w:t>
            </w:r>
          </w:p>
        </w:tc>
        <w:tc>
          <w:tcPr>
            <w:tcW w:w="3510"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Provision</w:t>
            </w:r>
            <w:r w:rsidRPr="001301D6">
              <w:rPr>
                <w:sz w:val="22"/>
              </w:rPr>
              <w:t xml:space="preserve">: </w:t>
            </w:r>
            <w:proofErr w:type="gramStart"/>
            <w:r w:rsidRPr="001301D6">
              <w:rPr>
                <w:sz w:val="22"/>
              </w:rPr>
              <w:t>Section 6(c) of the Protect America Act of 2007 (</w:t>
            </w:r>
            <w:hyperlink r:id="rId14" w:history="1">
              <w:r w:rsidRPr="001301D6">
                <w:rPr>
                  <w:sz w:val="22"/>
                </w:rPr>
                <w:t>Public Law 110–55</w:t>
              </w:r>
            </w:hyperlink>
            <w:r w:rsidRPr="001301D6">
              <w:rPr>
                <w:sz w:val="22"/>
              </w:rPr>
              <w:t>; 121 Stat. 557; </w:t>
            </w:r>
            <w:hyperlink r:id="rId15" w:history="1">
              <w:r w:rsidRPr="001301D6">
                <w:rPr>
                  <w:sz w:val="22"/>
                </w:rPr>
                <w:t>50 U.S.C. 1803</w:t>
              </w:r>
            </w:hyperlink>
            <w:r w:rsidRPr="001301D6">
              <w:rPr>
                <w:sz w:val="22"/>
              </w:rPr>
              <w:t> note) is amended by striking “180 days” and inserting “210 days”</w:t>
            </w:r>
            <w:proofErr w:type="gramEnd"/>
            <w:r w:rsidRPr="001301D6">
              <w:rPr>
                <w:sz w:val="22"/>
              </w:rPr>
              <w:t>.</w:t>
            </w:r>
          </w:p>
        </w:tc>
        <w:tc>
          <w:tcPr>
            <w:tcW w:w="279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President’s SAP Objection</w:t>
            </w:r>
            <w:r w:rsidRPr="001301D6">
              <w:rPr>
                <w:sz w:val="22"/>
              </w:rPr>
              <w:t>: H.R. 5104 fails to recognize that the threat posed by al Qaeda will no more expire in 34 days than it will in four days when the PAA expires.  Accordingly, if H.R. 5104 were presented to the President, he would veto the bill.</w:t>
            </w:r>
          </w:p>
        </w:tc>
      </w:tr>
      <w:tr w:rsidR="00E75767" w:rsidRPr="001301D6">
        <w:trPr>
          <w:trHeight w:val="3570"/>
        </w:trPr>
        <w:tc>
          <w:tcPr>
            <w:tcW w:w="218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1301D6">
              <w:rPr>
                <w:b/>
                <w:bCs/>
                <w:sz w:val="22"/>
              </w:rPr>
              <w:t>S 1287, Nuclear Waste Policy Amendments Act of 2000:</w:t>
            </w:r>
            <w:r w:rsidRPr="001301D6">
              <w:rPr>
                <w:bCs/>
                <w:sz w:val="22"/>
              </w:rPr>
              <w:t xml:space="preserve"> Congress did not accommodate the President, who subsequently vetoed the bill.  </w:t>
            </w:r>
          </w:p>
          <w:p w:rsidR="00E75767" w:rsidRPr="001301D6" w:rsidRDefault="00E75767" w:rsidP="007B4C0C">
            <w:pPr>
              <w:spacing w:line="240" w:lineRule="auto"/>
              <w:rPr>
                <w:sz w:val="22"/>
              </w:rPr>
            </w:pPr>
          </w:p>
        </w:tc>
        <w:tc>
          <w:tcPr>
            <w:tcW w:w="3510"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Provision</w:t>
            </w:r>
            <w:r w:rsidRPr="001301D6">
              <w:rPr>
                <w:sz w:val="22"/>
              </w:rPr>
              <w:t xml:space="preserve">: Notwithstanding the time schedule in section 801(a)(1) of the Energy Policy Act of 1992 (42 U.S.C. 10141 note), the Administrator shall not publish or adopt public health and safety standards for the protection of the public from releases </w:t>
            </w:r>
            <w:proofErr w:type="gramStart"/>
            <w:r w:rsidRPr="001301D6">
              <w:rPr>
                <w:sz w:val="22"/>
              </w:rPr>
              <w:t>from  radioactive</w:t>
            </w:r>
            <w:proofErr w:type="gramEnd"/>
            <w:r w:rsidRPr="001301D6">
              <w:rPr>
                <w:sz w:val="22"/>
              </w:rPr>
              <w:t xml:space="preserve"> materials stored or disposed of in the repository at the Yucca Mountain site--(1) except in accordance with this section; and (2) before June 1, 2001.</w:t>
            </w:r>
          </w:p>
          <w:p w:rsidR="00E75767" w:rsidRPr="001301D6" w:rsidRDefault="00E75767" w:rsidP="007B4C0C">
            <w:pPr>
              <w:spacing w:line="240" w:lineRule="auto"/>
              <w:rPr>
                <w:sz w:val="22"/>
              </w:rPr>
            </w:pPr>
          </w:p>
        </w:tc>
        <w:tc>
          <w:tcPr>
            <w:tcW w:w="2799" w:type="dxa"/>
            <w:tcBorders>
              <w:top w:val="nil"/>
              <w:left w:val="nil"/>
              <w:bottom w:val="nil"/>
              <w:right w:val="nil"/>
            </w:tcBorders>
            <w:shd w:val="clear" w:color="auto" w:fill="auto"/>
          </w:tcPr>
          <w:p w:rsidR="00E75767" w:rsidRPr="001301D6" w:rsidRDefault="00E75767" w:rsidP="00E75767">
            <w:pPr>
              <w:spacing w:line="240" w:lineRule="auto"/>
              <w:ind w:firstLine="0"/>
              <w:rPr>
                <w:sz w:val="22"/>
              </w:rPr>
            </w:pPr>
            <w:r w:rsidRPr="00B258D3">
              <w:rPr>
                <w:b/>
                <w:sz w:val="22"/>
              </w:rPr>
              <w:t>President’s SAP Objection</w:t>
            </w:r>
            <w:r w:rsidRPr="001301D6">
              <w:rPr>
                <w:sz w:val="22"/>
              </w:rPr>
              <w:t>:  Although the amendment appears to allow EPA to exercise its existing authority to set appropriate radiation release standards for the Yucca Mountain repository, it will allow another entity to block EPA's authority until June 1, 2001. Consequently, if the February 4, 2000, manager's amendment to S. 1287 is approved by the Senate and a bill with these provisions is presented to the President, the President will veto the bill.</w:t>
            </w:r>
          </w:p>
        </w:tc>
      </w:tr>
    </w:tbl>
    <w:p w:rsidR="004B2683" w:rsidRDefault="004B2683" w:rsidP="004B2683">
      <w:pPr>
        <w:spacing w:line="240" w:lineRule="auto"/>
        <w:ind w:left="1440" w:firstLine="0"/>
        <w:jc w:val="center"/>
      </w:pPr>
      <w:r>
        <w:rPr>
          <w:b/>
          <w:sz w:val="32"/>
        </w:rPr>
        <w:br w:type="page"/>
      </w:r>
      <w:r w:rsidR="00B00DE1" w:rsidRPr="003548B8">
        <w:rPr>
          <w:b/>
          <w:sz w:val="32"/>
        </w:rPr>
        <w:t xml:space="preserve">Table </w:t>
      </w:r>
      <w:r w:rsidR="00E72FC6">
        <w:rPr>
          <w:b/>
          <w:sz w:val="32"/>
        </w:rPr>
        <w:t>2</w:t>
      </w:r>
      <w:r w:rsidR="00B00DE1">
        <w:rPr>
          <w:b/>
          <w:sz w:val="32"/>
        </w:rPr>
        <w:t>.</w:t>
      </w:r>
    </w:p>
    <w:p w:rsidR="00B00DE1" w:rsidRPr="004B2683" w:rsidRDefault="00B00DE1" w:rsidP="004B2683">
      <w:pPr>
        <w:spacing w:line="240" w:lineRule="auto"/>
        <w:ind w:left="1440" w:firstLine="0"/>
        <w:jc w:val="center"/>
      </w:pPr>
      <w:r w:rsidRPr="003548B8">
        <w:rPr>
          <w:b/>
          <w:sz w:val="32"/>
        </w:rPr>
        <w:t>Likelihood of a Veto Threat</w:t>
      </w:r>
    </w:p>
    <w:tbl>
      <w:tblPr>
        <w:tblW w:w="8091" w:type="dxa"/>
        <w:jc w:val="center"/>
        <w:tblInd w:w="-270" w:type="dxa"/>
        <w:tblLayout w:type="fixed"/>
        <w:tblCellMar>
          <w:left w:w="75" w:type="dxa"/>
          <w:right w:w="75" w:type="dxa"/>
        </w:tblCellMar>
        <w:tblLook w:val="0000"/>
      </w:tblPr>
      <w:tblGrid>
        <w:gridCol w:w="2475"/>
        <w:gridCol w:w="1539"/>
        <w:gridCol w:w="1872"/>
        <w:gridCol w:w="2205"/>
      </w:tblGrid>
      <w:tr w:rsidR="00B00DE1" w:rsidRPr="0044169C">
        <w:trPr>
          <w:jc w:val="center"/>
        </w:trPr>
        <w:tc>
          <w:tcPr>
            <w:tcW w:w="2475" w:type="dxa"/>
            <w:tcBorders>
              <w:top w:val="nil"/>
              <w:left w:val="nil"/>
              <w:bottom w:val="single" w:sz="6" w:space="0" w:color="auto"/>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r w:rsidRPr="0044169C">
              <w:rPr>
                <w:sz w:val="22"/>
              </w:rPr>
              <w:t>DV: Veto Threat</w:t>
            </w:r>
          </w:p>
        </w:tc>
        <w:tc>
          <w:tcPr>
            <w:tcW w:w="1539" w:type="dxa"/>
            <w:tcBorders>
              <w:top w:val="nil"/>
              <w:left w:val="nil"/>
              <w:bottom w:val="single" w:sz="6" w:space="0" w:color="auto"/>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r w:rsidRPr="0044169C">
              <w:rPr>
                <w:sz w:val="22"/>
              </w:rPr>
              <w:t>All Bills</w:t>
            </w:r>
          </w:p>
        </w:tc>
        <w:tc>
          <w:tcPr>
            <w:tcW w:w="1872" w:type="dxa"/>
            <w:tcBorders>
              <w:top w:val="nil"/>
              <w:left w:val="nil"/>
              <w:bottom w:val="single" w:sz="6" w:space="0" w:color="auto"/>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r w:rsidRPr="0044169C">
              <w:rPr>
                <w:sz w:val="22"/>
              </w:rPr>
              <w:t>Reported Bills</w:t>
            </w:r>
          </w:p>
        </w:tc>
        <w:tc>
          <w:tcPr>
            <w:tcW w:w="2205" w:type="dxa"/>
            <w:tcBorders>
              <w:top w:val="nil"/>
              <w:left w:val="nil"/>
              <w:bottom w:val="single" w:sz="6" w:space="0" w:color="auto"/>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r w:rsidRPr="0044169C">
              <w:rPr>
                <w:sz w:val="22"/>
              </w:rPr>
              <w:t>Enrolled Provisions</w:t>
            </w:r>
          </w:p>
        </w:tc>
      </w:tr>
      <w:tr w:rsidR="00B00DE1" w:rsidRPr="0044169C">
        <w:trPr>
          <w:jc w:val="center"/>
        </w:trPr>
        <w:tc>
          <w:tcPr>
            <w:tcW w:w="2475" w:type="dxa"/>
            <w:tcBorders>
              <w:top w:val="nil"/>
              <w:left w:val="nil"/>
              <w:bottom w:val="nil"/>
              <w:right w:val="nil"/>
            </w:tcBorders>
          </w:tcPr>
          <w:p w:rsidR="00B00DE1" w:rsidRPr="0044169C" w:rsidRDefault="00B00DE1" w:rsidP="00D81F03">
            <w:pPr>
              <w:widowControl w:val="0"/>
              <w:autoSpaceDE w:val="0"/>
              <w:autoSpaceDN w:val="0"/>
              <w:adjustRightInd w:val="0"/>
              <w:spacing w:line="240" w:lineRule="auto"/>
              <w:ind w:firstLine="0"/>
              <w:jc w:val="center"/>
              <w:rPr>
                <w:i/>
                <w:sz w:val="22"/>
                <w:u w:val="single"/>
              </w:rPr>
            </w:pPr>
          </w:p>
          <w:p w:rsidR="00B00DE1" w:rsidRPr="0044169C" w:rsidRDefault="00B00DE1" w:rsidP="00D81F03">
            <w:pPr>
              <w:widowControl w:val="0"/>
              <w:autoSpaceDE w:val="0"/>
              <w:autoSpaceDN w:val="0"/>
              <w:adjustRightInd w:val="0"/>
              <w:spacing w:line="240" w:lineRule="auto"/>
              <w:ind w:firstLine="0"/>
              <w:jc w:val="center"/>
              <w:rPr>
                <w:i/>
                <w:sz w:val="22"/>
                <w:u w:val="single"/>
              </w:rPr>
            </w:pPr>
            <w:r w:rsidRPr="0044169C">
              <w:rPr>
                <w:i/>
                <w:sz w:val="22"/>
                <w:u w:val="single"/>
              </w:rPr>
              <w:t>Bill Attributes</w:t>
            </w:r>
          </w:p>
          <w:p w:rsidR="00B00DE1" w:rsidRPr="0044169C" w:rsidRDefault="00B00DE1" w:rsidP="00D81F03">
            <w:pPr>
              <w:widowControl w:val="0"/>
              <w:autoSpaceDE w:val="0"/>
              <w:autoSpaceDN w:val="0"/>
              <w:adjustRightInd w:val="0"/>
              <w:spacing w:line="240" w:lineRule="auto"/>
              <w:ind w:firstLine="0"/>
              <w:jc w:val="center"/>
              <w:rPr>
                <w:i/>
                <w:sz w:val="22"/>
                <w:u w:val="single"/>
              </w:rPr>
            </w:pPr>
          </w:p>
        </w:tc>
        <w:tc>
          <w:tcPr>
            <w:tcW w:w="1539" w:type="dxa"/>
            <w:tcBorders>
              <w:top w:val="nil"/>
              <w:left w:val="nil"/>
              <w:bottom w:val="nil"/>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p>
        </w:tc>
        <w:tc>
          <w:tcPr>
            <w:tcW w:w="1872" w:type="dxa"/>
            <w:tcBorders>
              <w:top w:val="nil"/>
              <w:left w:val="nil"/>
              <w:bottom w:val="nil"/>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p>
        </w:tc>
        <w:tc>
          <w:tcPr>
            <w:tcW w:w="2205" w:type="dxa"/>
            <w:tcBorders>
              <w:top w:val="nil"/>
              <w:left w:val="nil"/>
              <w:bottom w:val="nil"/>
              <w:right w:val="nil"/>
            </w:tcBorders>
          </w:tcPr>
          <w:p w:rsidR="00B00DE1" w:rsidRPr="0044169C" w:rsidRDefault="00B00DE1" w:rsidP="00D81F03">
            <w:pPr>
              <w:widowControl w:val="0"/>
              <w:autoSpaceDE w:val="0"/>
              <w:autoSpaceDN w:val="0"/>
              <w:adjustRightInd w:val="0"/>
              <w:spacing w:line="240" w:lineRule="auto"/>
              <w:ind w:firstLine="0"/>
              <w:jc w:val="center"/>
              <w:rPr>
                <w:sz w:val="22"/>
              </w:rPr>
            </w:pP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Introduced in House</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0.335***</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0.569***</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1.409**</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(0.098)</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(0.110)</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(0.699)</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DW Distance from Author to President</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-0.002</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-0.014</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1.435</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(0.183)</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(0.218)</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(0.931)</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 xml:space="preserve"># </w:t>
            </w:r>
            <w:proofErr w:type="gramStart"/>
            <w:r w:rsidRPr="0044169C">
              <w:rPr>
                <w:sz w:val="22"/>
              </w:rPr>
              <w:t>of</w:t>
            </w:r>
            <w:proofErr w:type="gramEnd"/>
            <w:r w:rsidRPr="0044169C">
              <w:rPr>
                <w:sz w:val="22"/>
              </w:rPr>
              <w:t xml:space="preserve"> Cosponsors</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0.010***</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0.009***</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0.002</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(0.001)</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(0.001)</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(0.003)</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 xml:space="preserve">Requested by Agency </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-0.218</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0.275</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3.395***</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(0.288)</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(0.326)</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(0.702)</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 xml:space="preserve">Author </w:t>
            </w:r>
            <w:r w:rsidR="00BE0E15">
              <w:rPr>
                <w:sz w:val="22"/>
              </w:rPr>
              <w:t xml:space="preserve">is </w:t>
            </w:r>
            <w:r w:rsidRPr="0044169C">
              <w:rPr>
                <w:sz w:val="22"/>
              </w:rPr>
              <w:t xml:space="preserve">Com. Chair </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1.057***</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0.569***</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0.646</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(0.090)</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(0.102)</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(0.535)</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 xml:space="preserve">Author in Cham. Maj. </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2.219***</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1.418***</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0.876</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(0.215)</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(0.251)</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(0.693)</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&gt;100 Provisions in Bill</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2.905***</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(0.491)</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i/>
                <w:sz w:val="22"/>
                <w:u w:val="single"/>
              </w:rPr>
            </w:pPr>
            <w:r w:rsidRPr="0044169C">
              <w:rPr>
                <w:i/>
                <w:sz w:val="22"/>
                <w:u w:val="single"/>
              </w:rPr>
              <w:t>Political Context</w:t>
            </w:r>
          </w:p>
          <w:p w:rsidR="00E37BE0" w:rsidRPr="0044169C" w:rsidRDefault="00E37BE0" w:rsidP="00D81F03">
            <w:pPr>
              <w:widowControl w:val="0"/>
              <w:autoSpaceDE w:val="0"/>
              <w:autoSpaceDN w:val="0"/>
              <w:adjustRightInd w:val="0"/>
              <w:spacing w:line="240" w:lineRule="auto"/>
              <w:ind w:firstLine="0"/>
              <w:jc w:val="center"/>
              <w:rPr>
                <w:i/>
                <w:sz w:val="22"/>
                <w:u w:val="single"/>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Opposition House</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2.303***</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1.897***</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-1.007</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(0.472)</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(0.487)</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(1.066)</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Opposition Senate</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0.993***</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0.923***</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-0.039</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(0.186)</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(0.208)</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(0.894)</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Divided Congress</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-1.153**</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-0.768</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3.325**</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(0.537)</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(0.559)</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(1.593)</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President Honeymoon</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-0.518***</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-0.599***</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-2.870***</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(0.170)</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(0.186)</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(1.086)</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G.H. Bush</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-0.360**</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-0.360**</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1.081</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(0.145)</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(0.173)</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(0.771)</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W. Clinton</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-0.555***</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-0.671***</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0.060</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(0.128)</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(0.147)</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(0.731)</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G.W. Bush</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-0.150</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0.127</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-0.016</w:t>
            </w:r>
          </w:p>
        </w:tc>
      </w:tr>
      <w:tr w:rsidR="00E37BE0" w:rsidRPr="0044169C">
        <w:trPr>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(0.129)</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(0.145)</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(0.897)</w:t>
            </w:r>
          </w:p>
        </w:tc>
      </w:tr>
      <w:tr w:rsidR="00E37BE0" w:rsidRPr="0044169C">
        <w:trPr>
          <w:jc w:val="center"/>
        </w:trPr>
        <w:tc>
          <w:tcPr>
            <w:tcW w:w="2475"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Constant</w:t>
            </w:r>
          </w:p>
        </w:tc>
        <w:tc>
          <w:tcPr>
            <w:tcW w:w="1539"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-9.076***</w:t>
            </w:r>
          </w:p>
        </w:tc>
        <w:tc>
          <w:tcPr>
            <w:tcW w:w="1872"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-6.476***</w:t>
            </w:r>
          </w:p>
        </w:tc>
        <w:tc>
          <w:tcPr>
            <w:tcW w:w="2205"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-9.267***</w:t>
            </w:r>
          </w:p>
        </w:tc>
      </w:tr>
      <w:tr w:rsidR="00E37BE0" w:rsidRPr="0044169C">
        <w:trPr>
          <w:jc w:val="center"/>
        </w:trPr>
        <w:tc>
          <w:tcPr>
            <w:tcW w:w="2475"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(0.331)</w:t>
            </w:r>
          </w:p>
        </w:tc>
        <w:tc>
          <w:tcPr>
            <w:tcW w:w="1872"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(0.381)</w:t>
            </w:r>
          </w:p>
        </w:tc>
        <w:tc>
          <w:tcPr>
            <w:tcW w:w="2205" w:type="dxa"/>
            <w:tcBorders>
              <w:top w:val="nil"/>
              <w:left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(1.397)</w:t>
            </w:r>
          </w:p>
        </w:tc>
      </w:tr>
      <w:tr w:rsidR="00E37BE0" w:rsidRPr="0044169C">
        <w:trPr>
          <w:jc w:val="center"/>
        </w:trPr>
        <w:tc>
          <w:tcPr>
            <w:tcW w:w="2475" w:type="dxa"/>
            <w:tcBorders>
              <w:left w:val="nil"/>
              <w:bottom w:val="single" w:sz="4" w:space="0" w:color="auto"/>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p>
        </w:tc>
        <w:tc>
          <w:tcPr>
            <w:tcW w:w="1539" w:type="dxa"/>
            <w:tcBorders>
              <w:left w:val="nil"/>
              <w:bottom w:val="single" w:sz="4" w:space="0" w:color="auto"/>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1872" w:type="dxa"/>
            <w:tcBorders>
              <w:left w:val="nil"/>
              <w:bottom w:val="single" w:sz="4" w:space="0" w:color="auto"/>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c>
          <w:tcPr>
            <w:tcW w:w="2205" w:type="dxa"/>
            <w:tcBorders>
              <w:left w:val="nil"/>
              <w:bottom w:val="single" w:sz="4" w:space="0" w:color="auto"/>
              <w:right w:val="nil"/>
            </w:tcBorders>
          </w:tcPr>
          <w:p w:rsidR="00E37BE0" w:rsidRPr="0044169C" w:rsidRDefault="00E37BE0" w:rsidP="00D81F03">
            <w:pPr>
              <w:widowControl w:val="0"/>
              <w:autoSpaceDE w:val="0"/>
              <w:autoSpaceDN w:val="0"/>
              <w:adjustRightInd w:val="0"/>
              <w:spacing w:line="240" w:lineRule="auto"/>
              <w:jc w:val="center"/>
              <w:rPr>
                <w:rFonts w:cs="DejaVu Sans"/>
                <w:sz w:val="22"/>
              </w:rPr>
            </w:pPr>
          </w:p>
        </w:tc>
      </w:tr>
      <w:tr w:rsidR="00E37BE0" w:rsidRPr="0044169C">
        <w:trPr>
          <w:jc w:val="center"/>
        </w:trPr>
        <w:tc>
          <w:tcPr>
            <w:tcW w:w="2475" w:type="dxa"/>
            <w:tcBorders>
              <w:top w:val="single" w:sz="4" w:space="0" w:color="auto"/>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Observations</w:t>
            </w:r>
          </w:p>
        </w:tc>
        <w:tc>
          <w:tcPr>
            <w:tcW w:w="1539" w:type="dxa"/>
            <w:tcBorders>
              <w:top w:val="single" w:sz="4" w:space="0" w:color="auto"/>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102,483</w:t>
            </w:r>
          </w:p>
        </w:tc>
        <w:tc>
          <w:tcPr>
            <w:tcW w:w="1872" w:type="dxa"/>
            <w:tcBorders>
              <w:top w:val="single" w:sz="4" w:space="0" w:color="auto"/>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10,984</w:t>
            </w:r>
          </w:p>
        </w:tc>
        <w:tc>
          <w:tcPr>
            <w:tcW w:w="2205" w:type="dxa"/>
            <w:tcBorders>
              <w:top w:val="single" w:sz="4" w:space="0" w:color="auto"/>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rFonts w:cs="DejaVu Sans"/>
                <w:sz w:val="22"/>
              </w:rPr>
              <w:t>1,420</w:t>
            </w:r>
          </w:p>
        </w:tc>
      </w:tr>
      <w:tr w:rsidR="00E37BE0" w:rsidRPr="0044169C">
        <w:trPr>
          <w:trHeight w:val="100"/>
          <w:jc w:val="center"/>
        </w:trPr>
        <w:tc>
          <w:tcPr>
            <w:tcW w:w="247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Pseudo R-squared</w:t>
            </w:r>
          </w:p>
        </w:tc>
        <w:tc>
          <w:tcPr>
            <w:tcW w:w="1539"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0.146</w:t>
            </w:r>
          </w:p>
        </w:tc>
        <w:tc>
          <w:tcPr>
            <w:tcW w:w="1872"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0.132</w:t>
            </w:r>
          </w:p>
        </w:tc>
        <w:tc>
          <w:tcPr>
            <w:tcW w:w="2205" w:type="dxa"/>
            <w:tcBorders>
              <w:top w:val="nil"/>
              <w:left w:val="nil"/>
              <w:bottom w:val="nil"/>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0.350</w:t>
            </w:r>
          </w:p>
        </w:tc>
      </w:tr>
      <w:tr w:rsidR="00E37BE0" w:rsidRPr="0044169C">
        <w:tblPrEx>
          <w:tblBorders>
            <w:bottom w:val="single" w:sz="6" w:space="0" w:color="auto"/>
          </w:tblBorders>
        </w:tblPrEx>
        <w:trPr>
          <w:jc w:val="center"/>
        </w:trPr>
        <w:tc>
          <w:tcPr>
            <w:tcW w:w="2475" w:type="dxa"/>
            <w:tcBorders>
              <w:top w:val="nil"/>
              <w:left w:val="nil"/>
              <w:bottom w:val="single" w:sz="6" w:space="0" w:color="auto"/>
              <w:right w:val="nil"/>
            </w:tcBorders>
          </w:tcPr>
          <w:p w:rsidR="00E37BE0" w:rsidRPr="0044169C" w:rsidRDefault="00E37BE0" w:rsidP="00D81F03">
            <w:pPr>
              <w:widowControl w:val="0"/>
              <w:autoSpaceDE w:val="0"/>
              <w:autoSpaceDN w:val="0"/>
              <w:adjustRightInd w:val="0"/>
              <w:spacing w:line="240" w:lineRule="auto"/>
              <w:ind w:firstLine="0"/>
              <w:jc w:val="center"/>
              <w:rPr>
                <w:sz w:val="22"/>
              </w:rPr>
            </w:pPr>
            <w:r w:rsidRPr="0044169C">
              <w:rPr>
                <w:sz w:val="22"/>
              </w:rPr>
              <w:t>Log Likelihood</w:t>
            </w:r>
          </w:p>
        </w:tc>
        <w:tc>
          <w:tcPr>
            <w:tcW w:w="1539" w:type="dxa"/>
            <w:tcBorders>
              <w:top w:val="nil"/>
              <w:left w:val="nil"/>
              <w:bottom w:val="single" w:sz="6" w:space="0" w:color="auto"/>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-3214.923</w:t>
            </w:r>
          </w:p>
        </w:tc>
        <w:tc>
          <w:tcPr>
            <w:tcW w:w="1872" w:type="dxa"/>
            <w:tcBorders>
              <w:top w:val="nil"/>
              <w:left w:val="nil"/>
              <w:bottom w:val="single" w:sz="6" w:space="0" w:color="auto"/>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-1796.818</w:t>
            </w:r>
          </w:p>
        </w:tc>
        <w:tc>
          <w:tcPr>
            <w:tcW w:w="2205" w:type="dxa"/>
            <w:tcBorders>
              <w:top w:val="nil"/>
              <w:left w:val="nil"/>
              <w:bottom w:val="single" w:sz="6" w:space="0" w:color="auto"/>
              <w:right w:val="nil"/>
            </w:tcBorders>
          </w:tcPr>
          <w:p w:rsidR="00E37BE0" w:rsidRPr="0044169C" w:rsidRDefault="00E37BE0" w:rsidP="00D81F03">
            <w:pPr>
              <w:widowControl w:val="0"/>
              <w:autoSpaceDE w:val="0"/>
              <w:autoSpaceDN w:val="0"/>
              <w:adjustRightInd w:val="0"/>
              <w:spacing w:line="240" w:lineRule="auto"/>
              <w:ind w:firstLine="0"/>
              <w:jc w:val="center"/>
              <w:rPr>
                <w:rFonts w:cs="DejaVu Sans"/>
                <w:sz w:val="22"/>
              </w:rPr>
            </w:pPr>
            <w:r w:rsidRPr="0044169C">
              <w:rPr>
                <w:rFonts w:cs="DejaVu Sans"/>
                <w:sz w:val="22"/>
              </w:rPr>
              <w:t>-85.27</w:t>
            </w:r>
          </w:p>
        </w:tc>
      </w:tr>
    </w:tbl>
    <w:p w:rsidR="00B00DE1" w:rsidRPr="003548B8" w:rsidRDefault="00B00DE1" w:rsidP="00406646">
      <w:pPr>
        <w:widowControl w:val="0"/>
        <w:autoSpaceDE w:val="0"/>
        <w:autoSpaceDN w:val="0"/>
        <w:adjustRightInd w:val="0"/>
        <w:spacing w:line="240" w:lineRule="auto"/>
        <w:ind w:firstLine="0"/>
        <w:jc w:val="center"/>
      </w:pPr>
      <w:proofErr w:type="gramStart"/>
      <w:r w:rsidRPr="003548B8">
        <w:t>Robust standard errors in parentheses</w:t>
      </w:r>
      <w:r w:rsidR="0044169C">
        <w:t>.</w:t>
      </w:r>
      <w:proofErr w:type="gramEnd"/>
      <w:r w:rsidR="0044169C">
        <w:t xml:space="preserve">  P</w:t>
      </w:r>
      <w:r w:rsidRPr="003548B8">
        <w:t xml:space="preserve">rovision </w:t>
      </w:r>
      <w:r>
        <w:t>estimates</w:t>
      </w:r>
      <w:r w:rsidRPr="003548B8">
        <w:t xml:space="preserve"> c</w:t>
      </w:r>
      <w:r w:rsidR="0044169C">
        <w:t>lustered on bill.</w:t>
      </w:r>
    </w:p>
    <w:p w:rsidR="00B00DE1" w:rsidRPr="007B25FE" w:rsidRDefault="00B00DE1" w:rsidP="00406646">
      <w:pPr>
        <w:widowControl w:val="0"/>
        <w:autoSpaceDE w:val="0"/>
        <w:autoSpaceDN w:val="0"/>
        <w:adjustRightInd w:val="0"/>
        <w:spacing w:line="240" w:lineRule="auto"/>
        <w:ind w:firstLine="0"/>
        <w:jc w:val="center"/>
      </w:pPr>
      <w:r w:rsidRPr="003548B8">
        <w:t xml:space="preserve">*** </w:t>
      </w:r>
      <w:proofErr w:type="gramStart"/>
      <w:r w:rsidRPr="003548B8">
        <w:t>p</w:t>
      </w:r>
      <w:proofErr w:type="gramEnd"/>
      <w:r w:rsidRPr="003548B8">
        <w:t>&lt;0.01, ** p&lt;0.05, * p&lt;0.1</w:t>
      </w:r>
    </w:p>
    <w:p w:rsidR="00B00DE1" w:rsidRDefault="00B00DE1" w:rsidP="00B00DE1">
      <w:pPr>
        <w:widowControl w:val="0"/>
        <w:autoSpaceDE w:val="0"/>
        <w:autoSpaceDN w:val="0"/>
        <w:adjustRightInd w:val="0"/>
        <w:spacing w:line="240" w:lineRule="auto"/>
        <w:ind w:firstLine="0"/>
        <w:rPr>
          <w:color w:val="FF0000"/>
        </w:rPr>
      </w:pPr>
    </w:p>
    <w:p w:rsidR="00682E80" w:rsidRDefault="00546247" w:rsidP="00546247">
      <w:pPr>
        <w:widowControl w:val="0"/>
        <w:autoSpaceDE w:val="0"/>
        <w:autoSpaceDN w:val="0"/>
        <w:adjustRightInd w:val="0"/>
        <w:spacing w:line="240" w:lineRule="auto"/>
        <w:ind w:firstLine="0"/>
        <w:jc w:val="center"/>
        <w:rPr>
          <w:b/>
          <w:sz w:val="32"/>
        </w:rPr>
      </w:pPr>
      <w:r>
        <w:rPr>
          <w:color w:val="FF0000"/>
        </w:rPr>
        <w:br w:type="page"/>
      </w:r>
      <w:r>
        <w:rPr>
          <w:b/>
          <w:sz w:val="32"/>
        </w:rPr>
        <w:t>Figure 2</w:t>
      </w:r>
      <w:r w:rsidR="00682E80">
        <w:rPr>
          <w:b/>
          <w:sz w:val="32"/>
        </w:rPr>
        <w:t>.</w:t>
      </w:r>
    </w:p>
    <w:p w:rsidR="00546247" w:rsidRDefault="00546247" w:rsidP="00546247">
      <w:pPr>
        <w:widowControl w:val="0"/>
        <w:autoSpaceDE w:val="0"/>
        <w:autoSpaceDN w:val="0"/>
        <w:adjustRightInd w:val="0"/>
        <w:spacing w:line="240" w:lineRule="auto"/>
        <w:ind w:firstLine="0"/>
        <w:jc w:val="center"/>
        <w:rPr>
          <w:b/>
          <w:sz w:val="32"/>
        </w:rPr>
      </w:pPr>
      <w:r w:rsidRPr="003548B8">
        <w:rPr>
          <w:b/>
          <w:sz w:val="32"/>
        </w:rPr>
        <w:t xml:space="preserve"> </w:t>
      </w:r>
      <w:r>
        <w:rPr>
          <w:b/>
          <w:sz w:val="32"/>
        </w:rPr>
        <w:t xml:space="preserve">Legislative </w:t>
      </w:r>
      <w:r w:rsidR="00682E80">
        <w:rPr>
          <w:b/>
          <w:sz w:val="32"/>
        </w:rPr>
        <w:t>Sequences</w:t>
      </w:r>
      <w:r>
        <w:rPr>
          <w:b/>
          <w:sz w:val="32"/>
        </w:rPr>
        <w:t xml:space="preserve"> of </w:t>
      </w:r>
      <w:r w:rsidR="00682E80">
        <w:rPr>
          <w:b/>
          <w:sz w:val="32"/>
        </w:rPr>
        <w:t xml:space="preserve">Veto </w:t>
      </w:r>
      <w:r>
        <w:rPr>
          <w:b/>
          <w:sz w:val="32"/>
        </w:rPr>
        <w:t>Threatened Provisions</w:t>
      </w:r>
    </w:p>
    <w:p w:rsidR="005C630D" w:rsidRDefault="005C630D" w:rsidP="00546247">
      <w:pPr>
        <w:widowControl w:val="0"/>
        <w:autoSpaceDE w:val="0"/>
        <w:autoSpaceDN w:val="0"/>
        <w:adjustRightInd w:val="0"/>
        <w:spacing w:line="240" w:lineRule="auto"/>
        <w:ind w:firstLine="0"/>
        <w:jc w:val="center"/>
        <w:rPr>
          <w:color w:val="FF0000"/>
        </w:rPr>
      </w:pPr>
    </w:p>
    <w:p w:rsidR="00B00DE1" w:rsidRDefault="00381CAF" w:rsidP="00B00DE1">
      <w:pPr>
        <w:widowControl w:val="0"/>
        <w:autoSpaceDE w:val="0"/>
        <w:autoSpaceDN w:val="0"/>
        <w:adjustRightInd w:val="0"/>
        <w:spacing w:line="240" w:lineRule="auto"/>
        <w:ind w:firstLine="0"/>
        <w:rPr>
          <w:color w:val="FF0000"/>
        </w:rPr>
      </w:pPr>
      <w:r>
        <w:rPr>
          <w:noProof/>
          <w:color w:val="FF0000"/>
        </w:rPr>
        <w:drawing>
          <wp:inline distT="0" distB="0" distL="0" distR="0">
            <wp:extent cx="6309360" cy="309170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309360" cy="3091708"/>
                    </a:xfrm>
                    <a:prstGeom prst="rect">
                      <a:avLst/>
                    </a:prstGeom>
                    <a:noFill/>
                    <a:ln w="9525">
                      <a:noFill/>
                      <a:miter lim="800000"/>
                      <a:headEnd/>
                      <a:tailEnd/>
                    </a:ln>
                  </pic:spPr>
                </pic:pic>
              </a:graphicData>
            </a:graphic>
          </wp:inline>
        </w:drawing>
      </w:r>
    </w:p>
    <w:p w:rsidR="00B00DE1" w:rsidRDefault="00B00DE1" w:rsidP="00B00DE1">
      <w:pPr>
        <w:widowControl w:val="0"/>
        <w:autoSpaceDE w:val="0"/>
        <w:autoSpaceDN w:val="0"/>
        <w:adjustRightInd w:val="0"/>
        <w:spacing w:line="240" w:lineRule="auto"/>
        <w:ind w:firstLine="0"/>
        <w:rPr>
          <w:color w:val="FF0000"/>
        </w:rPr>
      </w:pPr>
    </w:p>
    <w:p w:rsidR="00B00DE1" w:rsidRPr="00B37617" w:rsidRDefault="00B00DE1" w:rsidP="00B00DE1">
      <w:pPr>
        <w:widowControl w:val="0"/>
        <w:autoSpaceDE w:val="0"/>
        <w:autoSpaceDN w:val="0"/>
        <w:adjustRightInd w:val="0"/>
        <w:spacing w:line="240" w:lineRule="auto"/>
        <w:ind w:firstLine="0"/>
        <w:jc w:val="center"/>
        <w:rPr>
          <w:rFonts w:cs="Times New Roman"/>
        </w:rPr>
      </w:pPr>
    </w:p>
    <w:p w:rsidR="00682E80" w:rsidRDefault="00546247" w:rsidP="00682E80">
      <w:pPr>
        <w:spacing w:after="200" w:line="240" w:lineRule="auto"/>
        <w:ind w:firstLine="0"/>
        <w:jc w:val="center"/>
        <w:rPr>
          <w:b/>
          <w:sz w:val="32"/>
        </w:rPr>
      </w:pPr>
      <w:r>
        <w:rPr>
          <w:b/>
          <w:sz w:val="32"/>
        </w:rPr>
        <w:br w:type="page"/>
        <w:t>Figure 3</w:t>
      </w:r>
      <w:r w:rsidR="00682E80">
        <w:rPr>
          <w:b/>
          <w:sz w:val="32"/>
        </w:rPr>
        <w:t>.</w:t>
      </w:r>
    </w:p>
    <w:p w:rsidR="00B00DE1" w:rsidRPr="00682E80" w:rsidRDefault="00B00DE1" w:rsidP="00682E80">
      <w:pPr>
        <w:spacing w:after="200" w:line="240" w:lineRule="auto"/>
        <w:ind w:firstLine="0"/>
        <w:jc w:val="center"/>
        <w:rPr>
          <w:b/>
          <w:sz w:val="32"/>
        </w:rPr>
      </w:pPr>
      <w:r w:rsidRPr="003548B8">
        <w:rPr>
          <w:b/>
          <w:sz w:val="32"/>
        </w:rPr>
        <w:t xml:space="preserve"> </w:t>
      </w:r>
      <w:r>
        <w:rPr>
          <w:b/>
          <w:sz w:val="32"/>
        </w:rPr>
        <w:t xml:space="preserve">Distribution of </w:t>
      </w:r>
      <w:r w:rsidR="008E3608">
        <w:rPr>
          <w:b/>
          <w:sz w:val="32"/>
        </w:rPr>
        <w:t xml:space="preserve">House </w:t>
      </w:r>
      <w:r>
        <w:rPr>
          <w:b/>
          <w:sz w:val="32"/>
        </w:rPr>
        <w:t>Rule</w:t>
      </w:r>
      <w:r w:rsidR="008E3608">
        <w:rPr>
          <w:b/>
          <w:sz w:val="32"/>
        </w:rPr>
        <w:t xml:space="preserve">s for Bills </w:t>
      </w:r>
    </w:p>
    <w:p w:rsidR="00B00DE1" w:rsidRDefault="00B00DE1" w:rsidP="00B00DE1">
      <w:pPr>
        <w:spacing w:line="240" w:lineRule="auto"/>
        <w:ind w:firstLine="0"/>
        <w:jc w:val="center"/>
        <w:rPr>
          <w:sz w:val="32"/>
          <w:szCs w:val="32"/>
        </w:rPr>
      </w:pPr>
    </w:p>
    <w:p w:rsidR="00B00DE1" w:rsidRDefault="006A40B7" w:rsidP="00B00DE1">
      <w:pPr>
        <w:spacing w:line="240" w:lineRule="auto"/>
        <w:ind w:firstLine="0"/>
        <w:rPr>
          <w:sz w:val="22"/>
          <w:szCs w:val="32"/>
        </w:rPr>
        <w:sectPr w:rsidR="00B00DE1">
          <w:pgSz w:w="12240" w:h="15840"/>
          <w:pgMar w:top="864" w:right="1152" w:bottom="864" w:left="1152" w:gutter="0"/>
          <w:pgNumType w:start="1"/>
          <w:titlePg/>
          <w:docGrid w:linePitch="360"/>
        </w:sectPr>
      </w:pPr>
      <w:r>
        <w:rPr>
          <w:noProof/>
          <w:sz w:val="22"/>
          <w:szCs w:val="32"/>
        </w:rPr>
        <w:drawing>
          <wp:inline distT="0" distB="0" distL="0" distR="0">
            <wp:extent cx="6309360" cy="4586170"/>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309360" cy="4586170"/>
                    </a:xfrm>
                    <a:prstGeom prst="rect">
                      <a:avLst/>
                    </a:prstGeom>
                    <a:noFill/>
                    <a:ln w="9525">
                      <a:noFill/>
                      <a:miter lim="800000"/>
                      <a:headEnd/>
                      <a:tailEnd/>
                    </a:ln>
                  </pic:spPr>
                </pic:pic>
              </a:graphicData>
            </a:graphic>
          </wp:inline>
        </w:drawing>
      </w:r>
      <w:r w:rsidR="00B00DE1">
        <w:rPr>
          <w:sz w:val="22"/>
          <w:szCs w:val="32"/>
        </w:rPr>
        <w:t xml:space="preserve">Note: </w:t>
      </w:r>
      <w:r w:rsidR="008E3608">
        <w:rPr>
          <w:sz w:val="22"/>
          <w:szCs w:val="32"/>
        </w:rPr>
        <w:t xml:space="preserve">The selection </w:t>
      </w:r>
      <w:r w:rsidR="00B00DE1">
        <w:rPr>
          <w:sz w:val="22"/>
          <w:szCs w:val="32"/>
        </w:rPr>
        <w:t xml:space="preserve">of </w:t>
      </w:r>
      <w:r w:rsidR="008E3608">
        <w:rPr>
          <w:sz w:val="22"/>
          <w:szCs w:val="32"/>
        </w:rPr>
        <w:t xml:space="preserve">unthreatened House Rules Committee </w:t>
      </w:r>
      <w:r w:rsidR="00B00DE1">
        <w:rPr>
          <w:sz w:val="22"/>
          <w:szCs w:val="32"/>
        </w:rPr>
        <w:t xml:space="preserve">rules </w:t>
      </w:r>
      <w:r w:rsidR="008E3608">
        <w:rPr>
          <w:sz w:val="22"/>
          <w:szCs w:val="32"/>
        </w:rPr>
        <w:t>presented here is based on</w:t>
      </w:r>
      <w:r w:rsidR="00B00DE1">
        <w:rPr>
          <w:sz w:val="22"/>
          <w:szCs w:val="32"/>
        </w:rPr>
        <w:t xml:space="preserve"> genetic match</w:t>
      </w:r>
      <w:r w:rsidR="008E3608">
        <w:rPr>
          <w:sz w:val="22"/>
          <w:szCs w:val="32"/>
        </w:rPr>
        <w:t xml:space="preserve"> of comparable legislation</w:t>
      </w:r>
      <w:r w:rsidR="00B00DE1">
        <w:rPr>
          <w:sz w:val="22"/>
          <w:szCs w:val="32"/>
        </w:rPr>
        <w:t xml:space="preserve">. Data from 1985 through 2004 </w:t>
      </w:r>
      <w:r w:rsidR="008E3608">
        <w:rPr>
          <w:sz w:val="22"/>
          <w:szCs w:val="32"/>
        </w:rPr>
        <w:t xml:space="preserve">were </w:t>
      </w:r>
      <w:r w:rsidR="00B00DE1">
        <w:rPr>
          <w:sz w:val="22"/>
          <w:szCs w:val="32"/>
        </w:rPr>
        <w:t xml:space="preserve">kindly provided by </w:t>
      </w:r>
      <w:r w:rsidR="008E3608">
        <w:rPr>
          <w:sz w:val="22"/>
          <w:szCs w:val="32"/>
        </w:rPr>
        <w:t xml:space="preserve">David </w:t>
      </w:r>
      <w:r w:rsidR="00B00DE1">
        <w:rPr>
          <w:sz w:val="22"/>
          <w:szCs w:val="32"/>
        </w:rPr>
        <w:t>Owens</w:t>
      </w:r>
      <w:r w:rsidR="008E3608">
        <w:rPr>
          <w:sz w:val="22"/>
          <w:szCs w:val="32"/>
        </w:rPr>
        <w:t>: we f</w:t>
      </w:r>
      <w:r w:rsidR="00B00DE1">
        <w:rPr>
          <w:sz w:val="22"/>
          <w:szCs w:val="32"/>
        </w:rPr>
        <w:t>ollow</w:t>
      </w:r>
      <w:r w:rsidR="008E3608">
        <w:rPr>
          <w:sz w:val="22"/>
          <w:szCs w:val="32"/>
        </w:rPr>
        <w:t>ed</w:t>
      </w:r>
      <w:r w:rsidR="00B00DE1">
        <w:rPr>
          <w:sz w:val="22"/>
          <w:szCs w:val="32"/>
        </w:rPr>
        <w:t xml:space="preserve"> his definitions and </w:t>
      </w:r>
      <w:r w:rsidR="008E3608">
        <w:rPr>
          <w:sz w:val="22"/>
          <w:szCs w:val="32"/>
        </w:rPr>
        <w:t xml:space="preserve">guidance in </w:t>
      </w:r>
      <w:r w:rsidR="00B00DE1">
        <w:rPr>
          <w:sz w:val="22"/>
          <w:szCs w:val="32"/>
        </w:rPr>
        <w:t>extend</w:t>
      </w:r>
      <w:r w:rsidR="008E3608">
        <w:rPr>
          <w:sz w:val="22"/>
          <w:szCs w:val="32"/>
        </w:rPr>
        <w:t>ing</w:t>
      </w:r>
      <w:r w:rsidR="00B00DE1">
        <w:rPr>
          <w:sz w:val="22"/>
          <w:szCs w:val="32"/>
        </w:rPr>
        <w:t xml:space="preserve"> the series through 2008. See Owens and </w:t>
      </w:r>
      <w:proofErr w:type="spellStart"/>
      <w:r w:rsidR="00B00DE1">
        <w:rPr>
          <w:sz w:val="22"/>
          <w:szCs w:val="32"/>
        </w:rPr>
        <w:t>Wrighton</w:t>
      </w:r>
      <w:proofErr w:type="spellEnd"/>
      <w:r w:rsidR="00B00DE1">
        <w:rPr>
          <w:sz w:val="22"/>
          <w:szCs w:val="32"/>
        </w:rPr>
        <w:t xml:space="preserve"> (2007)</w:t>
      </w:r>
      <w:r w:rsidR="008E3608">
        <w:rPr>
          <w:sz w:val="22"/>
          <w:szCs w:val="32"/>
        </w:rPr>
        <w:t>.</w:t>
      </w:r>
    </w:p>
    <w:p w:rsidR="00B00DE1" w:rsidRPr="00712CD6" w:rsidRDefault="00B00DE1" w:rsidP="00B00DE1">
      <w:pPr>
        <w:spacing w:line="240" w:lineRule="auto"/>
        <w:ind w:firstLine="0"/>
        <w:rPr>
          <w:color w:val="FF0000"/>
          <w:sz w:val="22"/>
          <w:szCs w:val="32"/>
        </w:rPr>
      </w:pPr>
    </w:p>
    <w:p w:rsidR="00B00DE1" w:rsidRDefault="00B00DE1" w:rsidP="00B00DE1">
      <w:pPr>
        <w:spacing w:line="240" w:lineRule="auto"/>
        <w:ind w:firstLine="0"/>
        <w:jc w:val="center"/>
        <w:rPr>
          <w:b/>
          <w:sz w:val="32"/>
          <w:szCs w:val="32"/>
        </w:rPr>
      </w:pPr>
      <w:r>
        <w:rPr>
          <w:sz w:val="32"/>
          <w:szCs w:val="32"/>
        </w:rPr>
        <w:t xml:space="preserve"> </w:t>
      </w:r>
    </w:p>
    <w:p w:rsidR="00B00DE1" w:rsidRDefault="00B00DE1" w:rsidP="00B00DE1">
      <w:pPr>
        <w:spacing w:line="240" w:lineRule="auto"/>
        <w:ind w:firstLine="0"/>
        <w:jc w:val="center"/>
        <w:rPr>
          <w:b/>
          <w:sz w:val="32"/>
        </w:rPr>
      </w:pPr>
      <w:r w:rsidRPr="003548B8">
        <w:rPr>
          <w:b/>
          <w:sz w:val="32"/>
        </w:rPr>
        <w:t xml:space="preserve">Table </w:t>
      </w:r>
      <w:r w:rsidR="00E72FC6">
        <w:rPr>
          <w:b/>
          <w:sz w:val="32"/>
        </w:rPr>
        <w:t>3</w:t>
      </w:r>
      <w:r>
        <w:rPr>
          <w:b/>
          <w:sz w:val="32"/>
        </w:rPr>
        <w:t>.</w:t>
      </w:r>
    </w:p>
    <w:p w:rsidR="00B00DE1" w:rsidRDefault="00B00DE1" w:rsidP="00B00DE1">
      <w:pPr>
        <w:spacing w:line="240" w:lineRule="auto"/>
        <w:ind w:firstLine="0"/>
        <w:jc w:val="center"/>
        <w:rPr>
          <w:b/>
          <w:sz w:val="32"/>
        </w:rPr>
      </w:pPr>
      <w:r w:rsidRPr="003548B8">
        <w:rPr>
          <w:b/>
          <w:sz w:val="32"/>
        </w:rPr>
        <w:t xml:space="preserve"> Impact of Veto Threat on House Restrictive Rules</w:t>
      </w:r>
      <w:r>
        <w:rPr>
          <w:b/>
          <w:sz w:val="32"/>
        </w:rPr>
        <w:t xml:space="preserve"> and Filibuster Threats</w:t>
      </w:r>
    </w:p>
    <w:p w:rsidR="00B00DE1" w:rsidRPr="003548B8" w:rsidRDefault="00B00DE1" w:rsidP="00B00DE1">
      <w:pPr>
        <w:spacing w:line="240" w:lineRule="auto"/>
        <w:ind w:firstLine="0"/>
        <w:jc w:val="center"/>
        <w:rPr>
          <w:b/>
          <w:sz w:val="32"/>
        </w:rPr>
      </w:pPr>
    </w:p>
    <w:tbl>
      <w:tblPr>
        <w:tblW w:w="12720" w:type="dxa"/>
        <w:jc w:val="center"/>
        <w:tblInd w:w="-531" w:type="dxa"/>
        <w:tblLayout w:type="fixed"/>
        <w:tblCellMar>
          <w:left w:w="75" w:type="dxa"/>
          <w:right w:w="75" w:type="dxa"/>
        </w:tblCellMar>
        <w:tblLook w:val="0000"/>
      </w:tblPr>
      <w:tblGrid>
        <w:gridCol w:w="3335"/>
        <w:gridCol w:w="1561"/>
        <w:gridCol w:w="1561"/>
        <w:gridCol w:w="1562"/>
        <w:gridCol w:w="8"/>
        <w:gridCol w:w="1553"/>
        <w:gridCol w:w="1561"/>
        <w:gridCol w:w="1562"/>
        <w:gridCol w:w="17"/>
      </w:tblGrid>
      <w:tr w:rsidR="00B00DE1" w:rsidRPr="00535758">
        <w:trPr>
          <w:jc w:val="center"/>
        </w:trPr>
        <w:tc>
          <w:tcPr>
            <w:tcW w:w="3335" w:type="dxa"/>
            <w:tcBorders>
              <w:top w:val="single" w:sz="4" w:space="0" w:color="auto"/>
              <w:left w:val="nil"/>
              <w:right w:val="nil"/>
            </w:tcBorders>
          </w:tcPr>
          <w:p w:rsidR="00B00DE1" w:rsidRPr="00535758" w:rsidRDefault="00B00DE1" w:rsidP="00B00DE1">
            <w:pPr>
              <w:spacing w:line="240" w:lineRule="auto"/>
              <w:ind w:firstLine="0"/>
              <w:rPr>
                <w:sz w:val="22"/>
              </w:rPr>
            </w:pPr>
          </w:p>
        </w:tc>
        <w:tc>
          <w:tcPr>
            <w:tcW w:w="4692" w:type="dxa"/>
            <w:gridSpan w:val="4"/>
            <w:tcBorders>
              <w:top w:val="single" w:sz="4" w:space="0" w:color="auto"/>
              <w:left w:val="nil"/>
              <w:right w:val="nil"/>
            </w:tcBorders>
          </w:tcPr>
          <w:p w:rsidR="00B00DE1" w:rsidRPr="00535758" w:rsidRDefault="00B00DE1" w:rsidP="00107503">
            <w:pPr>
              <w:spacing w:line="240" w:lineRule="auto"/>
              <w:ind w:firstLine="0"/>
              <w:jc w:val="center"/>
              <w:rPr>
                <w:sz w:val="22"/>
                <w:u w:val="single"/>
              </w:rPr>
            </w:pPr>
            <w:r w:rsidRPr="00535758">
              <w:rPr>
                <w:sz w:val="22"/>
                <w:u w:val="single"/>
              </w:rPr>
              <w:t>DV: Restrictive Rules</w:t>
            </w:r>
          </w:p>
        </w:tc>
        <w:tc>
          <w:tcPr>
            <w:tcW w:w="4693" w:type="dxa"/>
            <w:gridSpan w:val="4"/>
            <w:tcBorders>
              <w:top w:val="single" w:sz="4" w:space="0" w:color="auto"/>
              <w:left w:val="nil"/>
              <w:right w:val="nil"/>
            </w:tcBorders>
          </w:tcPr>
          <w:p w:rsidR="00B00DE1" w:rsidRPr="00535758" w:rsidRDefault="00B00DE1" w:rsidP="00107503">
            <w:pPr>
              <w:spacing w:line="240" w:lineRule="auto"/>
              <w:ind w:firstLine="0"/>
              <w:jc w:val="center"/>
              <w:rPr>
                <w:sz w:val="22"/>
                <w:u w:val="single"/>
              </w:rPr>
            </w:pPr>
            <w:r>
              <w:rPr>
                <w:sz w:val="22"/>
                <w:u w:val="single"/>
              </w:rPr>
              <w:t>DV: Filibuster Threats</w:t>
            </w:r>
          </w:p>
        </w:tc>
      </w:tr>
      <w:tr w:rsidR="00B00DE1" w:rsidRPr="00535758">
        <w:trPr>
          <w:gridAfter w:val="1"/>
          <w:wAfter w:w="17" w:type="dxa"/>
          <w:jc w:val="center"/>
        </w:trPr>
        <w:tc>
          <w:tcPr>
            <w:tcW w:w="3335" w:type="dxa"/>
            <w:tcBorders>
              <w:left w:val="nil"/>
              <w:bottom w:val="single" w:sz="4" w:space="0" w:color="auto"/>
              <w:right w:val="nil"/>
            </w:tcBorders>
          </w:tcPr>
          <w:p w:rsidR="00B00DE1" w:rsidRPr="00535758" w:rsidRDefault="00B00DE1" w:rsidP="00B00DE1">
            <w:pPr>
              <w:spacing w:line="240" w:lineRule="auto"/>
              <w:ind w:firstLine="0"/>
              <w:rPr>
                <w:sz w:val="22"/>
              </w:rPr>
            </w:pPr>
          </w:p>
        </w:tc>
        <w:tc>
          <w:tcPr>
            <w:tcW w:w="1561" w:type="dxa"/>
            <w:tcBorders>
              <w:left w:val="nil"/>
              <w:bottom w:val="single" w:sz="4" w:space="0" w:color="auto"/>
              <w:right w:val="nil"/>
            </w:tcBorders>
          </w:tcPr>
          <w:p w:rsidR="00B00DE1" w:rsidRPr="00535758" w:rsidRDefault="00B00DE1" w:rsidP="00107503">
            <w:pPr>
              <w:spacing w:line="240" w:lineRule="auto"/>
              <w:ind w:firstLine="0"/>
              <w:jc w:val="center"/>
              <w:rPr>
                <w:sz w:val="22"/>
              </w:rPr>
            </w:pPr>
            <w:r w:rsidRPr="00535758">
              <w:rPr>
                <w:sz w:val="22"/>
              </w:rPr>
              <w:t>(1)</w:t>
            </w:r>
          </w:p>
        </w:tc>
        <w:tc>
          <w:tcPr>
            <w:tcW w:w="1561" w:type="dxa"/>
            <w:tcBorders>
              <w:left w:val="nil"/>
              <w:bottom w:val="single" w:sz="4" w:space="0" w:color="auto"/>
              <w:right w:val="nil"/>
            </w:tcBorders>
          </w:tcPr>
          <w:p w:rsidR="00B00DE1" w:rsidRPr="00535758" w:rsidRDefault="00B00DE1" w:rsidP="00107503">
            <w:pPr>
              <w:spacing w:line="240" w:lineRule="auto"/>
              <w:ind w:firstLine="0"/>
              <w:jc w:val="center"/>
              <w:rPr>
                <w:sz w:val="22"/>
              </w:rPr>
            </w:pPr>
            <w:r w:rsidRPr="00535758">
              <w:rPr>
                <w:sz w:val="22"/>
              </w:rPr>
              <w:t>(2)</w:t>
            </w:r>
          </w:p>
        </w:tc>
        <w:tc>
          <w:tcPr>
            <w:tcW w:w="1562" w:type="dxa"/>
            <w:tcBorders>
              <w:left w:val="nil"/>
              <w:bottom w:val="single" w:sz="4" w:space="0" w:color="auto"/>
              <w:right w:val="nil"/>
            </w:tcBorders>
          </w:tcPr>
          <w:p w:rsidR="00B00DE1" w:rsidRPr="00535758" w:rsidRDefault="00B00DE1" w:rsidP="00107503">
            <w:pPr>
              <w:spacing w:line="240" w:lineRule="auto"/>
              <w:ind w:firstLine="0"/>
              <w:jc w:val="center"/>
              <w:rPr>
                <w:sz w:val="22"/>
              </w:rPr>
            </w:pPr>
            <w:r w:rsidRPr="00535758">
              <w:rPr>
                <w:sz w:val="22"/>
              </w:rPr>
              <w:t>(3)</w:t>
            </w:r>
          </w:p>
        </w:tc>
        <w:tc>
          <w:tcPr>
            <w:tcW w:w="1561" w:type="dxa"/>
            <w:gridSpan w:val="2"/>
            <w:tcBorders>
              <w:left w:val="nil"/>
              <w:bottom w:val="single" w:sz="4" w:space="0" w:color="auto"/>
              <w:right w:val="nil"/>
            </w:tcBorders>
          </w:tcPr>
          <w:p w:rsidR="00B00DE1" w:rsidRPr="00535758" w:rsidRDefault="00B00DE1" w:rsidP="00107503">
            <w:pPr>
              <w:spacing w:line="240" w:lineRule="auto"/>
              <w:ind w:firstLine="0"/>
              <w:jc w:val="center"/>
              <w:rPr>
                <w:sz w:val="22"/>
              </w:rPr>
            </w:pPr>
            <w:r>
              <w:rPr>
                <w:sz w:val="22"/>
              </w:rPr>
              <w:t>(4)</w:t>
            </w:r>
          </w:p>
        </w:tc>
        <w:tc>
          <w:tcPr>
            <w:tcW w:w="1561" w:type="dxa"/>
            <w:tcBorders>
              <w:left w:val="nil"/>
              <w:bottom w:val="single" w:sz="4" w:space="0" w:color="auto"/>
              <w:right w:val="nil"/>
            </w:tcBorders>
          </w:tcPr>
          <w:p w:rsidR="00B00DE1" w:rsidRPr="00535758" w:rsidRDefault="00B00DE1" w:rsidP="00107503">
            <w:pPr>
              <w:spacing w:line="240" w:lineRule="auto"/>
              <w:ind w:firstLine="0"/>
              <w:jc w:val="center"/>
              <w:rPr>
                <w:sz w:val="22"/>
              </w:rPr>
            </w:pPr>
            <w:r>
              <w:rPr>
                <w:sz w:val="22"/>
              </w:rPr>
              <w:t>(5)</w:t>
            </w:r>
          </w:p>
        </w:tc>
        <w:tc>
          <w:tcPr>
            <w:tcW w:w="1562" w:type="dxa"/>
            <w:tcBorders>
              <w:left w:val="nil"/>
              <w:bottom w:val="single" w:sz="4" w:space="0" w:color="auto"/>
              <w:right w:val="nil"/>
            </w:tcBorders>
          </w:tcPr>
          <w:p w:rsidR="00B00DE1" w:rsidRPr="00535758" w:rsidRDefault="00B00DE1" w:rsidP="00107503">
            <w:pPr>
              <w:spacing w:line="240" w:lineRule="auto"/>
              <w:ind w:firstLine="0"/>
              <w:jc w:val="center"/>
              <w:rPr>
                <w:sz w:val="22"/>
              </w:rPr>
            </w:pPr>
            <w:r>
              <w:rPr>
                <w:sz w:val="22"/>
              </w:rPr>
              <w:t>(6)</w:t>
            </w:r>
          </w:p>
        </w:tc>
      </w:tr>
      <w:tr w:rsidR="00B00DE1" w:rsidRPr="00535758">
        <w:trPr>
          <w:gridAfter w:val="1"/>
          <w:wAfter w:w="17" w:type="dxa"/>
          <w:jc w:val="center"/>
        </w:trPr>
        <w:tc>
          <w:tcPr>
            <w:tcW w:w="3335" w:type="dxa"/>
            <w:tcBorders>
              <w:top w:val="single" w:sz="4" w:space="0" w:color="auto"/>
              <w:left w:val="nil"/>
              <w:bottom w:val="nil"/>
              <w:right w:val="nil"/>
            </w:tcBorders>
          </w:tcPr>
          <w:p w:rsidR="00B00DE1" w:rsidRPr="00535758" w:rsidRDefault="00B00DE1" w:rsidP="00B00DE1">
            <w:pPr>
              <w:spacing w:line="240" w:lineRule="auto"/>
              <w:ind w:firstLine="0"/>
              <w:rPr>
                <w:sz w:val="22"/>
              </w:rPr>
            </w:pPr>
          </w:p>
        </w:tc>
        <w:tc>
          <w:tcPr>
            <w:tcW w:w="1561" w:type="dxa"/>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c>
          <w:tcPr>
            <w:tcW w:w="1561" w:type="dxa"/>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c>
          <w:tcPr>
            <w:tcW w:w="1562" w:type="dxa"/>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c>
          <w:tcPr>
            <w:tcW w:w="1561" w:type="dxa"/>
            <w:gridSpan w:val="2"/>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c>
          <w:tcPr>
            <w:tcW w:w="1561" w:type="dxa"/>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c>
          <w:tcPr>
            <w:tcW w:w="1562" w:type="dxa"/>
            <w:tcBorders>
              <w:top w:val="single" w:sz="4" w:space="0" w:color="auto"/>
              <w:left w:val="nil"/>
              <w:bottom w:val="nil"/>
              <w:right w:val="nil"/>
            </w:tcBorders>
          </w:tcPr>
          <w:p w:rsidR="00B00DE1" w:rsidRPr="00535758" w:rsidRDefault="00B00DE1" w:rsidP="00107503">
            <w:pPr>
              <w:spacing w:line="240" w:lineRule="auto"/>
              <w:ind w:firstLine="0"/>
              <w:jc w:val="center"/>
              <w:rPr>
                <w:sz w:val="22"/>
              </w:rPr>
            </w:pP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All Veto threats</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5.168***</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3.539***</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3.428***</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4.546***</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2.149***</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2.175***</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(0.231)</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(0.276)</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(0.282)</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(0.304)</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(0.339)</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(0.351)</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 xml:space="preserve">“President will veto” threat </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1.261*</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-0.179</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p>
        </w:tc>
        <w:tc>
          <w:tcPr>
            <w:tcW w:w="1561" w:type="dxa"/>
            <w:tcBorders>
              <w:top w:val="nil"/>
              <w:left w:val="nil"/>
              <w:bottom w:val="nil"/>
              <w:right w:val="nil"/>
            </w:tcBorders>
          </w:tcPr>
          <w:p w:rsidR="00107503" w:rsidRPr="00535758" w:rsidRDefault="00107503" w:rsidP="00107503">
            <w:pPr>
              <w:spacing w:line="240" w:lineRule="auto"/>
              <w:ind w:firstLine="0"/>
              <w:jc w:val="center"/>
              <w:rPr>
                <w:sz w:val="22"/>
              </w:rPr>
            </w:pPr>
          </w:p>
        </w:tc>
        <w:tc>
          <w:tcPr>
            <w:tcW w:w="1561" w:type="dxa"/>
            <w:tcBorders>
              <w:top w:val="nil"/>
              <w:left w:val="nil"/>
              <w:bottom w:val="nil"/>
              <w:right w:val="nil"/>
            </w:tcBorders>
          </w:tcPr>
          <w:p w:rsidR="00107503" w:rsidRPr="00535758" w:rsidRDefault="00107503" w:rsidP="00107503">
            <w:pPr>
              <w:spacing w:line="240" w:lineRule="auto"/>
              <w:ind w:firstLine="0"/>
              <w:jc w:val="center"/>
              <w:rPr>
                <w:sz w:val="22"/>
              </w:rPr>
            </w:pP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(0.765)</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(0.550)</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Senate Bill</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-0.920***</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-0.605*</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-0.635**</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-0.420</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-0.263</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-0.257</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(0.221)</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(0.313)</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(0.317)</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(0.353)</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(0.367)</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(0.366)</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Opposition House</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-0.034</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-0.015</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0.017</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1.597**</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0.585</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0.580</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(0.388)</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(0.625)</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(0.671)</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(0.739)</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(0.951)</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(0.953)</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Opposition Senate</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-0.215</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0.326</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0.315</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-0.819</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-0.114</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-0.110</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(0.305)</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(0.549)</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(0.563)</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(0.623)</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(0.823)</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(0.828)</w:t>
            </w:r>
          </w:p>
        </w:tc>
      </w:tr>
      <w:tr w:rsidR="00107503" w:rsidRPr="00535758">
        <w:trPr>
          <w:gridAfter w:val="1"/>
          <w:wAfter w:w="17" w:type="dxa"/>
          <w:jc w:val="center"/>
        </w:trPr>
        <w:tc>
          <w:tcPr>
            <w:tcW w:w="3335" w:type="dxa"/>
            <w:tcBorders>
              <w:top w:val="nil"/>
              <w:left w:val="nil"/>
              <w:bottom w:val="nil"/>
              <w:right w:val="nil"/>
            </w:tcBorders>
          </w:tcPr>
          <w:p w:rsidR="00107503" w:rsidRPr="00535758" w:rsidRDefault="00107503" w:rsidP="00B00DE1">
            <w:pPr>
              <w:spacing w:line="240" w:lineRule="auto"/>
              <w:ind w:firstLine="0"/>
              <w:rPr>
                <w:sz w:val="22"/>
              </w:rPr>
            </w:pPr>
            <w:r w:rsidRPr="00535758">
              <w:rPr>
                <w:sz w:val="22"/>
              </w:rPr>
              <w:t>Constant</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-3.055***</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-2.163***</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-2.150***</w:t>
            </w:r>
          </w:p>
        </w:tc>
        <w:tc>
          <w:tcPr>
            <w:tcW w:w="1561" w:type="dxa"/>
            <w:gridSpan w:val="2"/>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-7.011***</w:t>
            </w:r>
          </w:p>
        </w:tc>
        <w:tc>
          <w:tcPr>
            <w:tcW w:w="1561"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-4.248***</w:t>
            </w:r>
          </w:p>
        </w:tc>
        <w:tc>
          <w:tcPr>
            <w:tcW w:w="1562" w:type="dxa"/>
            <w:tcBorders>
              <w:top w:val="nil"/>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-4.262***</w:t>
            </w:r>
          </w:p>
        </w:tc>
      </w:tr>
      <w:tr w:rsidR="00107503" w:rsidRPr="00535758">
        <w:trPr>
          <w:gridAfter w:val="1"/>
          <w:wAfter w:w="17" w:type="dxa"/>
          <w:jc w:val="center"/>
        </w:trPr>
        <w:tc>
          <w:tcPr>
            <w:tcW w:w="3335" w:type="dxa"/>
            <w:tcBorders>
              <w:top w:val="nil"/>
              <w:left w:val="nil"/>
              <w:right w:val="nil"/>
            </w:tcBorders>
          </w:tcPr>
          <w:p w:rsidR="00107503" w:rsidRPr="00535758" w:rsidRDefault="00107503" w:rsidP="00B00DE1">
            <w:pPr>
              <w:spacing w:line="240" w:lineRule="auto"/>
              <w:ind w:firstLine="0"/>
              <w:rPr>
                <w:sz w:val="22"/>
              </w:rPr>
            </w:pPr>
          </w:p>
        </w:tc>
        <w:tc>
          <w:tcPr>
            <w:tcW w:w="1561" w:type="dxa"/>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(0.342)</w:t>
            </w:r>
          </w:p>
        </w:tc>
        <w:tc>
          <w:tcPr>
            <w:tcW w:w="1561" w:type="dxa"/>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(0.522)</w:t>
            </w:r>
          </w:p>
        </w:tc>
        <w:tc>
          <w:tcPr>
            <w:tcW w:w="1562" w:type="dxa"/>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(0.543)</w:t>
            </w:r>
          </w:p>
        </w:tc>
        <w:tc>
          <w:tcPr>
            <w:tcW w:w="1561" w:type="dxa"/>
            <w:gridSpan w:val="2"/>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(0.665)</w:t>
            </w:r>
          </w:p>
        </w:tc>
        <w:tc>
          <w:tcPr>
            <w:tcW w:w="1561" w:type="dxa"/>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(0.882)</w:t>
            </w:r>
          </w:p>
        </w:tc>
        <w:tc>
          <w:tcPr>
            <w:tcW w:w="1562" w:type="dxa"/>
            <w:tcBorders>
              <w:top w:val="nil"/>
              <w:left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(0.882)</w:t>
            </w:r>
          </w:p>
        </w:tc>
      </w:tr>
      <w:tr w:rsidR="00107503" w:rsidRPr="00535758">
        <w:trPr>
          <w:gridAfter w:val="1"/>
          <w:wAfter w:w="17" w:type="dxa"/>
          <w:jc w:val="center"/>
        </w:trPr>
        <w:tc>
          <w:tcPr>
            <w:tcW w:w="3335" w:type="dxa"/>
            <w:tcBorders>
              <w:top w:val="nil"/>
              <w:left w:val="nil"/>
              <w:bottom w:val="single" w:sz="4" w:space="0" w:color="auto"/>
              <w:right w:val="nil"/>
            </w:tcBorders>
          </w:tcPr>
          <w:p w:rsidR="00107503" w:rsidRPr="00535758" w:rsidRDefault="00107503" w:rsidP="00B00DE1">
            <w:pPr>
              <w:spacing w:line="240" w:lineRule="auto"/>
              <w:ind w:firstLine="0"/>
              <w:rPr>
                <w:sz w:val="22"/>
              </w:rPr>
            </w:pP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p>
        </w:tc>
        <w:tc>
          <w:tcPr>
            <w:tcW w:w="1562" w:type="dxa"/>
            <w:tcBorders>
              <w:top w:val="nil"/>
              <w:left w:val="nil"/>
              <w:bottom w:val="single" w:sz="4" w:space="0" w:color="auto"/>
              <w:right w:val="nil"/>
            </w:tcBorders>
          </w:tcPr>
          <w:p w:rsidR="00107503" w:rsidRPr="00535758" w:rsidRDefault="00107503" w:rsidP="00107503">
            <w:pPr>
              <w:widowControl w:val="0"/>
              <w:autoSpaceDE w:val="0"/>
              <w:autoSpaceDN w:val="0"/>
              <w:adjustRightInd w:val="0"/>
              <w:spacing w:line="240" w:lineRule="auto"/>
              <w:ind w:firstLine="0"/>
              <w:jc w:val="center"/>
              <w:rPr>
                <w:rFonts w:cs="Times New Roman"/>
                <w:sz w:val="22"/>
              </w:rPr>
            </w:pPr>
          </w:p>
        </w:tc>
        <w:tc>
          <w:tcPr>
            <w:tcW w:w="1561" w:type="dxa"/>
            <w:gridSpan w:val="2"/>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p>
        </w:tc>
        <w:tc>
          <w:tcPr>
            <w:tcW w:w="1562" w:type="dxa"/>
            <w:tcBorders>
              <w:top w:val="nil"/>
              <w:left w:val="nil"/>
              <w:bottom w:val="single" w:sz="4" w:space="0" w:color="auto"/>
              <w:right w:val="nil"/>
            </w:tcBorders>
          </w:tcPr>
          <w:p w:rsidR="00107503" w:rsidRPr="00535758" w:rsidRDefault="00107503" w:rsidP="00107503">
            <w:pPr>
              <w:widowControl w:val="0"/>
              <w:autoSpaceDE w:val="0"/>
              <w:autoSpaceDN w:val="0"/>
              <w:adjustRightInd w:val="0"/>
              <w:spacing w:line="240" w:lineRule="auto"/>
              <w:ind w:firstLine="0"/>
              <w:jc w:val="center"/>
              <w:rPr>
                <w:rFonts w:cs="Times New Roman"/>
                <w:sz w:val="22"/>
              </w:rPr>
            </w:pPr>
          </w:p>
        </w:tc>
      </w:tr>
      <w:tr w:rsidR="00107503" w:rsidRPr="00535758">
        <w:trPr>
          <w:gridAfter w:val="1"/>
          <w:wAfter w:w="17" w:type="dxa"/>
          <w:jc w:val="center"/>
        </w:trPr>
        <w:tc>
          <w:tcPr>
            <w:tcW w:w="3335" w:type="dxa"/>
            <w:tcBorders>
              <w:top w:val="single" w:sz="4" w:space="0" w:color="auto"/>
              <w:left w:val="nil"/>
              <w:bottom w:val="nil"/>
              <w:right w:val="nil"/>
            </w:tcBorders>
          </w:tcPr>
          <w:p w:rsidR="00107503" w:rsidRPr="00535758" w:rsidRDefault="00107503" w:rsidP="00B00DE1">
            <w:pPr>
              <w:spacing w:line="240" w:lineRule="auto"/>
              <w:ind w:firstLine="0"/>
              <w:rPr>
                <w:sz w:val="22"/>
              </w:rPr>
            </w:pPr>
            <w:r w:rsidRPr="00535758">
              <w:rPr>
                <w:sz w:val="22"/>
              </w:rPr>
              <w:t>Observations</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5,276</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582</w:t>
            </w:r>
          </w:p>
        </w:tc>
        <w:tc>
          <w:tcPr>
            <w:tcW w:w="1562"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582</w:t>
            </w:r>
          </w:p>
        </w:tc>
        <w:tc>
          <w:tcPr>
            <w:tcW w:w="1561" w:type="dxa"/>
            <w:gridSpan w:val="2"/>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5,276</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582</w:t>
            </w:r>
          </w:p>
        </w:tc>
        <w:tc>
          <w:tcPr>
            <w:tcW w:w="1562"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582</w:t>
            </w:r>
          </w:p>
        </w:tc>
      </w:tr>
      <w:tr w:rsidR="00107503" w:rsidRPr="00535758">
        <w:trPr>
          <w:gridAfter w:val="1"/>
          <w:wAfter w:w="17" w:type="dxa"/>
          <w:jc w:val="center"/>
        </w:trPr>
        <w:tc>
          <w:tcPr>
            <w:tcW w:w="3335" w:type="dxa"/>
            <w:tcBorders>
              <w:top w:val="nil"/>
              <w:left w:val="nil"/>
              <w:right w:val="nil"/>
            </w:tcBorders>
          </w:tcPr>
          <w:p w:rsidR="00107503" w:rsidRPr="00535758" w:rsidRDefault="00107503" w:rsidP="00B00DE1">
            <w:pPr>
              <w:spacing w:line="240" w:lineRule="auto"/>
              <w:ind w:firstLine="0"/>
              <w:rPr>
                <w:sz w:val="22"/>
              </w:rPr>
            </w:pPr>
            <w:r w:rsidRPr="00535758">
              <w:rPr>
                <w:sz w:val="22"/>
              </w:rPr>
              <w:t>Administration FE</w:t>
            </w:r>
          </w:p>
        </w:tc>
        <w:tc>
          <w:tcPr>
            <w:tcW w:w="1561" w:type="dxa"/>
            <w:tcBorders>
              <w:top w:val="nil"/>
              <w:left w:val="nil"/>
              <w:right w:val="nil"/>
            </w:tcBorders>
          </w:tcPr>
          <w:p w:rsidR="00107503" w:rsidRPr="00535758" w:rsidRDefault="00107503" w:rsidP="00107503">
            <w:pPr>
              <w:spacing w:line="240" w:lineRule="auto"/>
              <w:ind w:firstLine="0"/>
              <w:jc w:val="center"/>
              <w:rPr>
                <w:sz w:val="22"/>
              </w:rPr>
            </w:pPr>
            <w:r w:rsidRPr="00535758">
              <w:rPr>
                <w:sz w:val="22"/>
              </w:rPr>
              <w:t>Yes</w:t>
            </w:r>
          </w:p>
        </w:tc>
        <w:tc>
          <w:tcPr>
            <w:tcW w:w="1561" w:type="dxa"/>
            <w:tcBorders>
              <w:top w:val="nil"/>
              <w:left w:val="nil"/>
              <w:right w:val="nil"/>
            </w:tcBorders>
          </w:tcPr>
          <w:p w:rsidR="00107503" w:rsidRPr="00535758" w:rsidRDefault="00107503" w:rsidP="00107503">
            <w:pPr>
              <w:spacing w:line="240" w:lineRule="auto"/>
              <w:ind w:firstLine="0"/>
              <w:jc w:val="center"/>
              <w:rPr>
                <w:sz w:val="22"/>
              </w:rPr>
            </w:pPr>
            <w:r w:rsidRPr="00535758">
              <w:rPr>
                <w:sz w:val="22"/>
              </w:rPr>
              <w:t>Yes</w:t>
            </w:r>
          </w:p>
        </w:tc>
        <w:tc>
          <w:tcPr>
            <w:tcW w:w="1562" w:type="dxa"/>
            <w:tcBorders>
              <w:top w:val="nil"/>
              <w:left w:val="nil"/>
              <w:right w:val="nil"/>
            </w:tcBorders>
          </w:tcPr>
          <w:p w:rsidR="00107503" w:rsidRPr="00535758" w:rsidRDefault="00107503" w:rsidP="00107503">
            <w:pPr>
              <w:widowControl w:val="0"/>
              <w:autoSpaceDE w:val="0"/>
              <w:autoSpaceDN w:val="0"/>
              <w:adjustRightInd w:val="0"/>
              <w:spacing w:line="240" w:lineRule="auto"/>
              <w:ind w:firstLine="0"/>
              <w:jc w:val="center"/>
              <w:rPr>
                <w:rFonts w:cs="Times New Roman"/>
                <w:sz w:val="22"/>
              </w:rPr>
            </w:pPr>
            <w:r w:rsidRPr="00535758">
              <w:rPr>
                <w:rFonts w:cs="Times New Roman"/>
                <w:sz w:val="22"/>
              </w:rPr>
              <w:t>Yes</w:t>
            </w:r>
          </w:p>
        </w:tc>
        <w:tc>
          <w:tcPr>
            <w:tcW w:w="1561" w:type="dxa"/>
            <w:gridSpan w:val="2"/>
            <w:tcBorders>
              <w:top w:val="nil"/>
              <w:left w:val="nil"/>
              <w:right w:val="nil"/>
            </w:tcBorders>
          </w:tcPr>
          <w:p w:rsidR="00107503" w:rsidRPr="00535758" w:rsidRDefault="00107503" w:rsidP="00107503">
            <w:pPr>
              <w:spacing w:line="240" w:lineRule="auto"/>
              <w:ind w:firstLine="0"/>
              <w:jc w:val="center"/>
              <w:rPr>
                <w:sz w:val="22"/>
              </w:rPr>
            </w:pPr>
            <w:r w:rsidRPr="00535758">
              <w:rPr>
                <w:sz w:val="22"/>
              </w:rPr>
              <w:t>Yes</w:t>
            </w:r>
          </w:p>
        </w:tc>
        <w:tc>
          <w:tcPr>
            <w:tcW w:w="1561" w:type="dxa"/>
            <w:tcBorders>
              <w:top w:val="nil"/>
              <w:left w:val="nil"/>
              <w:right w:val="nil"/>
            </w:tcBorders>
          </w:tcPr>
          <w:p w:rsidR="00107503" w:rsidRPr="00535758" w:rsidRDefault="00107503" w:rsidP="00107503">
            <w:pPr>
              <w:spacing w:line="240" w:lineRule="auto"/>
              <w:ind w:firstLine="0"/>
              <w:jc w:val="center"/>
              <w:rPr>
                <w:sz w:val="22"/>
              </w:rPr>
            </w:pPr>
            <w:r w:rsidRPr="00535758">
              <w:rPr>
                <w:sz w:val="22"/>
              </w:rPr>
              <w:t>Yes</w:t>
            </w:r>
          </w:p>
        </w:tc>
        <w:tc>
          <w:tcPr>
            <w:tcW w:w="1562" w:type="dxa"/>
            <w:tcBorders>
              <w:top w:val="nil"/>
              <w:left w:val="nil"/>
              <w:right w:val="nil"/>
            </w:tcBorders>
          </w:tcPr>
          <w:p w:rsidR="00107503" w:rsidRPr="00535758" w:rsidRDefault="00107503" w:rsidP="00107503">
            <w:pPr>
              <w:widowControl w:val="0"/>
              <w:autoSpaceDE w:val="0"/>
              <w:autoSpaceDN w:val="0"/>
              <w:adjustRightInd w:val="0"/>
              <w:spacing w:line="240" w:lineRule="auto"/>
              <w:ind w:firstLine="0"/>
              <w:jc w:val="center"/>
              <w:rPr>
                <w:rFonts w:cs="Times New Roman"/>
                <w:sz w:val="22"/>
              </w:rPr>
            </w:pPr>
            <w:r w:rsidRPr="00535758">
              <w:rPr>
                <w:rFonts w:cs="Times New Roman"/>
                <w:sz w:val="22"/>
              </w:rPr>
              <w:t>Yes</w:t>
            </w:r>
          </w:p>
        </w:tc>
      </w:tr>
      <w:tr w:rsidR="00107503" w:rsidRPr="00535758">
        <w:trPr>
          <w:gridAfter w:val="1"/>
          <w:wAfter w:w="17" w:type="dxa"/>
          <w:jc w:val="center"/>
        </w:trPr>
        <w:tc>
          <w:tcPr>
            <w:tcW w:w="3335" w:type="dxa"/>
            <w:tcBorders>
              <w:top w:val="nil"/>
              <w:left w:val="nil"/>
              <w:bottom w:val="single" w:sz="4" w:space="0" w:color="auto"/>
              <w:right w:val="nil"/>
            </w:tcBorders>
          </w:tcPr>
          <w:p w:rsidR="00107503" w:rsidRPr="00535758" w:rsidRDefault="00107503" w:rsidP="00B00DE1">
            <w:pPr>
              <w:spacing w:line="240" w:lineRule="auto"/>
              <w:ind w:firstLine="0"/>
              <w:rPr>
                <w:sz w:val="22"/>
              </w:rPr>
            </w:pPr>
            <w:r w:rsidRPr="00535758">
              <w:rPr>
                <w:sz w:val="22"/>
              </w:rPr>
              <w:t>Sampling Strategy</w:t>
            </w: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r w:rsidRPr="00535758">
              <w:rPr>
                <w:sz w:val="22"/>
              </w:rPr>
              <w:t>Enrolled Bills</w:t>
            </w: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r w:rsidRPr="00535758">
              <w:rPr>
                <w:sz w:val="22"/>
              </w:rPr>
              <w:t>Genetic Match</w:t>
            </w:r>
          </w:p>
        </w:tc>
        <w:tc>
          <w:tcPr>
            <w:tcW w:w="1562" w:type="dxa"/>
            <w:tcBorders>
              <w:top w:val="nil"/>
              <w:left w:val="nil"/>
              <w:bottom w:val="single" w:sz="4" w:space="0" w:color="auto"/>
              <w:right w:val="nil"/>
            </w:tcBorders>
          </w:tcPr>
          <w:p w:rsidR="00107503" w:rsidRPr="00535758" w:rsidRDefault="00107503" w:rsidP="00107503">
            <w:pPr>
              <w:widowControl w:val="0"/>
              <w:autoSpaceDE w:val="0"/>
              <w:autoSpaceDN w:val="0"/>
              <w:adjustRightInd w:val="0"/>
              <w:spacing w:line="240" w:lineRule="auto"/>
              <w:ind w:firstLine="0"/>
              <w:jc w:val="center"/>
              <w:rPr>
                <w:rFonts w:cs="Times New Roman"/>
                <w:sz w:val="22"/>
              </w:rPr>
            </w:pPr>
            <w:r w:rsidRPr="00535758">
              <w:rPr>
                <w:sz w:val="22"/>
              </w:rPr>
              <w:t>Genetic Match</w:t>
            </w:r>
          </w:p>
        </w:tc>
        <w:tc>
          <w:tcPr>
            <w:tcW w:w="1561" w:type="dxa"/>
            <w:gridSpan w:val="2"/>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r w:rsidRPr="00535758">
              <w:rPr>
                <w:sz w:val="22"/>
              </w:rPr>
              <w:t>Enrolled Bills</w:t>
            </w:r>
          </w:p>
        </w:tc>
        <w:tc>
          <w:tcPr>
            <w:tcW w:w="1561"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r w:rsidRPr="00535758">
              <w:rPr>
                <w:sz w:val="22"/>
              </w:rPr>
              <w:t>Genetic Match</w:t>
            </w:r>
          </w:p>
        </w:tc>
        <w:tc>
          <w:tcPr>
            <w:tcW w:w="1562" w:type="dxa"/>
            <w:tcBorders>
              <w:top w:val="nil"/>
              <w:left w:val="nil"/>
              <w:bottom w:val="single" w:sz="4" w:space="0" w:color="auto"/>
              <w:right w:val="nil"/>
            </w:tcBorders>
          </w:tcPr>
          <w:p w:rsidR="00107503" w:rsidRPr="00535758" w:rsidRDefault="00107503" w:rsidP="00107503">
            <w:pPr>
              <w:spacing w:line="240" w:lineRule="auto"/>
              <w:ind w:firstLine="0"/>
              <w:jc w:val="center"/>
              <w:rPr>
                <w:sz w:val="22"/>
              </w:rPr>
            </w:pPr>
            <w:r w:rsidRPr="00535758">
              <w:rPr>
                <w:sz w:val="22"/>
              </w:rPr>
              <w:t>Genetic Match</w:t>
            </w:r>
          </w:p>
        </w:tc>
      </w:tr>
      <w:tr w:rsidR="00107503" w:rsidRPr="00535758">
        <w:trPr>
          <w:gridAfter w:val="1"/>
          <w:wAfter w:w="17" w:type="dxa"/>
          <w:jc w:val="center"/>
        </w:trPr>
        <w:tc>
          <w:tcPr>
            <w:tcW w:w="3335" w:type="dxa"/>
            <w:tcBorders>
              <w:top w:val="single" w:sz="4" w:space="0" w:color="auto"/>
              <w:left w:val="nil"/>
              <w:bottom w:val="nil"/>
              <w:right w:val="nil"/>
            </w:tcBorders>
          </w:tcPr>
          <w:p w:rsidR="00107503" w:rsidRPr="00535758" w:rsidRDefault="00107503" w:rsidP="00B00DE1">
            <w:pPr>
              <w:spacing w:line="240" w:lineRule="auto"/>
              <w:ind w:firstLine="0"/>
              <w:rPr>
                <w:sz w:val="22"/>
              </w:rPr>
            </w:pPr>
            <w:r w:rsidRPr="00535758">
              <w:rPr>
                <w:sz w:val="22"/>
              </w:rPr>
              <w:t>Pseudo R-squared</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0.384</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0.375</w:t>
            </w:r>
          </w:p>
        </w:tc>
        <w:tc>
          <w:tcPr>
            <w:tcW w:w="1562"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0.380</w:t>
            </w:r>
          </w:p>
        </w:tc>
        <w:tc>
          <w:tcPr>
            <w:tcW w:w="1561" w:type="dxa"/>
            <w:gridSpan w:val="2"/>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0.366</w:t>
            </w:r>
          </w:p>
        </w:tc>
        <w:tc>
          <w:tcPr>
            <w:tcW w:w="1561"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0.171</w:t>
            </w:r>
          </w:p>
        </w:tc>
        <w:tc>
          <w:tcPr>
            <w:tcW w:w="1562" w:type="dxa"/>
            <w:tcBorders>
              <w:top w:val="single" w:sz="4" w:space="0" w:color="auto"/>
              <w:left w:val="nil"/>
              <w:bottom w:val="nil"/>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0.171</w:t>
            </w:r>
          </w:p>
        </w:tc>
      </w:tr>
      <w:tr w:rsidR="00107503" w:rsidRPr="00535758">
        <w:tblPrEx>
          <w:tblBorders>
            <w:bottom w:val="single" w:sz="6" w:space="0" w:color="auto"/>
          </w:tblBorders>
        </w:tblPrEx>
        <w:trPr>
          <w:gridAfter w:val="1"/>
          <w:wAfter w:w="17" w:type="dxa"/>
          <w:jc w:val="center"/>
        </w:trPr>
        <w:tc>
          <w:tcPr>
            <w:tcW w:w="3335" w:type="dxa"/>
            <w:tcBorders>
              <w:top w:val="nil"/>
              <w:left w:val="nil"/>
              <w:bottom w:val="single" w:sz="6" w:space="0" w:color="auto"/>
              <w:right w:val="nil"/>
            </w:tcBorders>
          </w:tcPr>
          <w:p w:rsidR="00107503" w:rsidRPr="00535758" w:rsidRDefault="00107503" w:rsidP="00B00DE1">
            <w:pPr>
              <w:spacing w:line="240" w:lineRule="auto"/>
              <w:ind w:firstLine="0"/>
              <w:rPr>
                <w:sz w:val="22"/>
              </w:rPr>
            </w:pPr>
            <w:r w:rsidRPr="00535758">
              <w:rPr>
                <w:sz w:val="22"/>
              </w:rPr>
              <w:t>Log Likelihood</w:t>
            </w:r>
          </w:p>
        </w:tc>
        <w:tc>
          <w:tcPr>
            <w:tcW w:w="1561" w:type="dxa"/>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-577.0</w:t>
            </w:r>
          </w:p>
        </w:tc>
        <w:tc>
          <w:tcPr>
            <w:tcW w:w="1561" w:type="dxa"/>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-216.5</w:t>
            </w:r>
          </w:p>
        </w:tc>
        <w:tc>
          <w:tcPr>
            <w:tcW w:w="1562" w:type="dxa"/>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-214.8</w:t>
            </w:r>
          </w:p>
        </w:tc>
        <w:tc>
          <w:tcPr>
            <w:tcW w:w="1561" w:type="dxa"/>
            <w:gridSpan w:val="2"/>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-211.1</w:t>
            </w:r>
          </w:p>
        </w:tc>
        <w:tc>
          <w:tcPr>
            <w:tcW w:w="1561" w:type="dxa"/>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-160.6</w:t>
            </w:r>
          </w:p>
        </w:tc>
        <w:tc>
          <w:tcPr>
            <w:tcW w:w="1562" w:type="dxa"/>
            <w:tcBorders>
              <w:top w:val="nil"/>
              <w:left w:val="nil"/>
              <w:bottom w:val="single" w:sz="6" w:space="0" w:color="auto"/>
              <w:right w:val="nil"/>
            </w:tcBorders>
          </w:tcPr>
          <w:p w:rsidR="00107503" w:rsidRDefault="00107503" w:rsidP="00107503">
            <w:pPr>
              <w:widowControl w:val="0"/>
              <w:autoSpaceDE w:val="0"/>
              <w:autoSpaceDN w:val="0"/>
              <w:adjustRightInd w:val="0"/>
              <w:spacing w:line="240" w:lineRule="auto"/>
              <w:ind w:firstLine="0"/>
              <w:jc w:val="center"/>
              <w:rPr>
                <w:rFonts w:cs="Times New Roman"/>
              </w:rPr>
            </w:pPr>
            <w:r>
              <w:rPr>
                <w:rFonts w:cs="Times New Roman"/>
              </w:rPr>
              <w:t>-160.5</w:t>
            </w:r>
          </w:p>
        </w:tc>
      </w:tr>
    </w:tbl>
    <w:p w:rsidR="00B00DE1" w:rsidRPr="003548B8" w:rsidRDefault="00B00DE1" w:rsidP="00B00DE1">
      <w:pPr>
        <w:spacing w:line="240" w:lineRule="auto"/>
        <w:ind w:firstLine="0"/>
        <w:jc w:val="center"/>
        <w:rPr>
          <w:sz w:val="22"/>
        </w:rPr>
      </w:pPr>
      <w:r w:rsidRPr="003548B8">
        <w:rPr>
          <w:sz w:val="22"/>
        </w:rPr>
        <w:t>Standard errors in parentheses</w:t>
      </w:r>
    </w:p>
    <w:p w:rsidR="00B00DE1" w:rsidRDefault="00B00DE1" w:rsidP="00B00DE1">
      <w:pPr>
        <w:spacing w:line="240" w:lineRule="auto"/>
        <w:ind w:firstLine="0"/>
        <w:jc w:val="center"/>
        <w:rPr>
          <w:sz w:val="22"/>
        </w:rPr>
        <w:sectPr w:rsidR="00B00DE1">
          <w:pgSz w:w="15840" w:h="12240" w:orient="landscape"/>
          <w:pgMar w:top="1152" w:right="864" w:bottom="1152" w:left="864" w:gutter="0"/>
          <w:docGrid w:linePitch="360"/>
        </w:sectPr>
      </w:pPr>
      <w:r w:rsidRPr="003548B8">
        <w:rPr>
          <w:sz w:val="22"/>
        </w:rPr>
        <w:t xml:space="preserve">*** </w:t>
      </w:r>
      <w:proofErr w:type="gramStart"/>
      <w:r w:rsidRPr="003548B8">
        <w:rPr>
          <w:sz w:val="22"/>
        </w:rPr>
        <w:t>p</w:t>
      </w:r>
      <w:proofErr w:type="gramEnd"/>
      <w:r w:rsidRPr="003548B8">
        <w:rPr>
          <w:sz w:val="22"/>
        </w:rPr>
        <w:t>&lt;0.01, ** p&lt;0.05, * p&lt;0.1</w:t>
      </w:r>
    </w:p>
    <w:p w:rsidR="00B00DE1" w:rsidRPr="003548B8" w:rsidRDefault="00B00DE1" w:rsidP="00B00DE1">
      <w:pPr>
        <w:spacing w:line="240" w:lineRule="auto"/>
        <w:ind w:firstLine="0"/>
        <w:jc w:val="center"/>
        <w:rPr>
          <w:sz w:val="22"/>
        </w:rPr>
      </w:pPr>
    </w:p>
    <w:p w:rsidR="00B00DE1" w:rsidRPr="00377DAE" w:rsidRDefault="00546247" w:rsidP="00B00DE1">
      <w:pPr>
        <w:spacing w:after="200" w:line="240" w:lineRule="auto"/>
        <w:ind w:firstLine="0"/>
        <w:jc w:val="center"/>
        <w:rPr>
          <w:b/>
          <w:bCs/>
          <w:sz w:val="32"/>
          <w:szCs w:val="20"/>
        </w:rPr>
      </w:pPr>
      <w:r>
        <w:rPr>
          <w:b/>
          <w:sz w:val="32"/>
        </w:rPr>
        <w:t>Figure 4</w:t>
      </w:r>
      <w:r w:rsidR="00682E80">
        <w:rPr>
          <w:b/>
          <w:sz w:val="32"/>
        </w:rPr>
        <w:t>.</w:t>
      </w:r>
    </w:p>
    <w:p w:rsidR="00B00DE1" w:rsidRDefault="00B00DE1" w:rsidP="00B00DE1">
      <w:pPr>
        <w:spacing w:line="240" w:lineRule="auto"/>
        <w:ind w:firstLine="0"/>
        <w:jc w:val="center"/>
        <w:rPr>
          <w:b/>
          <w:sz w:val="32"/>
        </w:rPr>
      </w:pPr>
      <w:r w:rsidRPr="003548B8">
        <w:rPr>
          <w:b/>
          <w:sz w:val="32"/>
        </w:rPr>
        <w:t xml:space="preserve"> Impact of Veto Threat on </w:t>
      </w:r>
      <w:r>
        <w:rPr>
          <w:b/>
          <w:sz w:val="32"/>
        </w:rPr>
        <w:t>House Rules and Filibusters*</w:t>
      </w:r>
    </w:p>
    <w:p w:rsidR="00682E80" w:rsidRDefault="00682E80" w:rsidP="00B00DE1">
      <w:pPr>
        <w:spacing w:after="200" w:line="240" w:lineRule="auto"/>
        <w:ind w:firstLine="0"/>
        <w:jc w:val="center"/>
        <w:rPr>
          <w:sz w:val="32"/>
        </w:rPr>
      </w:pPr>
    </w:p>
    <w:p w:rsidR="00682E80" w:rsidRDefault="005B4E37" w:rsidP="00B00DE1">
      <w:pPr>
        <w:spacing w:after="200" w:line="240" w:lineRule="auto"/>
        <w:ind w:firstLine="0"/>
        <w:jc w:val="center"/>
        <w:rPr>
          <w:sz w:val="32"/>
        </w:rPr>
      </w:pPr>
      <w:r>
        <w:rPr>
          <w:noProof/>
          <w:sz w:val="32"/>
        </w:rPr>
        <w:drawing>
          <wp:inline distT="0" distB="0" distL="0" distR="0">
            <wp:extent cx="5943600" cy="4320305"/>
            <wp:effectExtent l="2540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943600" cy="4320305"/>
                    </a:xfrm>
                    <a:prstGeom prst="rect">
                      <a:avLst/>
                    </a:prstGeom>
                    <a:noFill/>
                    <a:ln w="9525">
                      <a:noFill/>
                      <a:miter lim="800000"/>
                      <a:headEnd/>
                      <a:tailEnd/>
                    </a:ln>
                  </pic:spPr>
                </pic:pic>
              </a:graphicData>
            </a:graphic>
          </wp:inline>
        </w:drawing>
      </w:r>
    </w:p>
    <w:p w:rsidR="00B00DE1" w:rsidRPr="004F4BDB" w:rsidRDefault="00682E80" w:rsidP="00406646">
      <w:pPr>
        <w:spacing w:after="200" w:line="240" w:lineRule="auto"/>
        <w:ind w:firstLine="0"/>
        <w:jc w:val="center"/>
        <w:rPr>
          <w:color w:val="FF0000"/>
          <w:sz w:val="32"/>
        </w:rPr>
      </w:pPr>
      <w:r>
        <w:t xml:space="preserve">*Based on estimates in </w:t>
      </w:r>
      <w:r w:rsidR="00C66420">
        <w:t>equation</w:t>
      </w:r>
      <w:r>
        <w:t xml:space="preserve">s 3 </w:t>
      </w:r>
      <w:r w:rsidR="00FE27AC">
        <w:t>and</w:t>
      </w:r>
      <w:r>
        <w:t xml:space="preserve"> 6, Table 3.</w:t>
      </w:r>
      <w:r w:rsidR="00B00DE1" w:rsidRPr="003548B8">
        <w:rPr>
          <w:sz w:val="32"/>
        </w:rPr>
        <w:br w:type="page"/>
      </w:r>
    </w:p>
    <w:p w:rsidR="00B00DE1" w:rsidRPr="003548B8" w:rsidRDefault="00B00DE1" w:rsidP="00B00DE1">
      <w:pPr>
        <w:spacing w:line="240" w:lineRule="auto"/>
        <w:ind w:firstLine="0"/>
        <w:jc w:val="center"/>
        <w:rPr>
          <w:sz w:val="22"/>
        </w:rPr>
      </w:pPr>
    </w:p>
    <w:p w:rsidR="00B00DE1" w:rsidRPr="003548B8" w:rsidRDefault="00B00DE1" w:rsidP="00B00DE1">
      <w:pPr>
        <w:spacing w:after="200" w:line="240" w:lineRule="auto"/>
        <w:ind w:firstLine="0"/>
        <w:rPr>
          <w:rFonts w:cs="Times New Roman"/>
          <w:sz w:val="22"/>
        </w:rPr>
      </w:pPr>
    </w:p>
    <w:p w:rsidR="00B00DE1" w:rsidRDefault="00B00DE1" w:rsidP="00B00DE1">
      <w:pPr>
        <w:spacing w:after="200" w:line="240" w:lineRule="auto"/>
        <w:ind w:firstLine="0"/>
        <w:rPr>
          <w:b/>
          <w:sz w:val="32"/>
          <w:szCs w:val="32"/>
        </w:rPr>
      </w:pPr>
    </w:p>
    <w:p w:rsidR="00B00DE1" w:rsidRDefault="00B00DE1" w:rsidP="00B00DE1">
      <w:pPr>
        <w:spacing w:line="240" w:lineRule="auto"/>
        <w:ind w:firstLine="0"/>
        <w:jc w:val="center"/>
        <w:rPr>
          <w:b/>
          <w:sz w:val="32"/>
          <w:szCs w:val="32"/>
        </w:rPr>
      </w:pPr>
      <w:r w:rsidRPr="00E85945">
        <w:rPr>
          <w:b/>
          <w:sz w:val="32"/>
          <w:szCs w:val="32"/>
        </w:rPr>
        <w:t xml:space="preserve">Table </w:t>
      </w:r>
      <w:r w:rsidR="00E72FC6">
        <w:rPr>
          <w:b/>
          <w:sz w:val="32"/>
          <w:szCs w:val="32"/>
        </w:rPr>
        <w:t>4</w:t>
      </w:r>
      <w:r>
        <w:rPr>
          <w:b/>
          <w:sz w:val="32"/>
          <w:szCs w:val="32"/>
        </w:rPr>
        <w:t>.</w:t>
      </w:r>
    </w:p>
    <w:p w:rsidR="00B00DE1" w:rsidRPr="005A3DF4" w:rsidRDefault="00B00DE1" w:rsidP="00B00DE1">
      <w:pPr>
        <w:spacing w:line="240" w:lineRule="auto"/>
        <w:ind w:firstLine="0"/>
        <w:jc w:val="center"/>
        <w:rPr>
          <w:b/>
          <w:sz w:val="32"/>
          <w:szCs w:val="32"/>
        </w:rPr>
      </w:pPr>
      <w:r w:rsidRPr="00E85945">
        <w:rPr>
          <w:b/>
          <w:sz w:val="32"/>
          <w:szCs w:val="32"/>
        </w:rPr>
        <w:t xml:space="preserve"> </w:t>
      </w:r>
      <w:r>
        <w:rPr>
          <w:b/>
          <w:sz w:val="32"/>
          <w:szCs w:val="32"/>
        </w:rPr>
        <w:t xml:space="preserve">Survival of </w:t>
      </w:r>
      <w:r w:rsidRPr="00E85945">
        <w:rPr>
          <w:b/>
          <w:sz w:val="32"/>
          <w:szCs w:val="32"/>
        </w:rPr>
        <w:t>Veto Threat</w:t>
      </w:r>
      <w:r>
        <w:rPr>
          <w:b/>
          <w:sz w:val="32"/>
          <w:szCs w:val="32"/>
        </w:rPr>
        <w:t>ened Provisions</w:t>
      </w:r>
      <w:r w:rsidRPr="00E85945">
        <w:rPr>
          <w:b/>
          <w:sz w:val="32"/>
          <w:szCs w:val="32"/>
        </w:rPr>
        <w:t xml:space="preserve"> by Chamber and Sequence</w:t>
      </w:r>
    </w:p>
    <w:p w:rsidR="00B00DE1" w:rsidRPr="00534F7A" w:rsidRDefault="00B00DE1" w:rsidP="00B41B47">
      <w:pPr>
        <w:spacing w:line="240" w:lineRule="auto"/>
        <w:ind w:firstLine="0"/>
        <w:jc w:val="center"/>
        <w:rPr>
          <w:sz w:val="32"/>
          <w:szCs w:val="32"/>
        </w:rPr>
      </w:pPr>
    </w:p>
    <w:tbl>
      <w:tblPr>
        <w:tblW w:w="8640" w:type="dxa"/>
        <w:jc w:val="center"/>
        <w:tblLayout w:type="fixed"/>
        <w:tblCellMar>
          <w:left w:w="75" w:type="dxa"/>
          <w:right w:w="75" w:type="dxa"/>
        </w:tblCellMar>
        <w:tblLook w:val="0000"/>
      </w:tblPr>
      <w:tblGrid>
        <w:gridCol w:w="2052"/>
        <w:gridCol w:w="1620"/>
        <w:gridCol w:w="1530"/>
        <w:gridCol w:w="1710"/>
        <w:gridCol w:w="1728"/>
      </w:tblGrid>
      <w:tr w:rsidR="00B00DE1" w:rsidRPr="00B41B47">
        <w:trPr>
          <w:jc w:val="center"/>
        </w:trPr>
        <w:tc>
          <w:tcPr>
            <w:tcW w:w="2052" w:type="dxa"/>
            <w:tcBorders>
              <w:top w:val="single" w:sz="4" w:space="0" w:color="auto"/>
              <w:left w:val="nil"/>
              <w:right w:val="nil"/>
            </w:tcBorders>
          </w:tcPr>
          <w:p w:rsidR="00B00DE1" w:rsidRPr="00B41B47" w:rsidRDefault="00B00DE1" w:rsidP="00B41B47">
            <w:pPr>
              <w:spacing w:line="240" w:lineRule="auto"/>
              <w:ind w:firstLine="0"/>
              <w:jc w:val="center"/>
              <w:rPr>
                <w:sz w:val="22"/>
              </w:rPr>
            </w:pPr>
          </w:p>
        </w:tc>
        <w:tc>
          <w:tcPr>
            <w:tcW w:w="6588" w:type="dxa"/>
            <w:gridSpan w:val="4"/>
            <w:tcBorders>
              <w:top w:val="single" w:sz="4" w:space="0" w:color="auto"/>
              <w:left w:val="nil"/>
              <w:right w:val="nil"/>
            </w:tcBorders>
          </w:tcPr>
          <w:p w:rsidR="00B00DE1" w:rsidRPr="00B41B47" w:rsidRDefault="00B00DE1" w:rsidP="00B41B47">
            <w:pPr>
              <w:spacing w:line="240" w:lineRule="auto"/>
              <w:ind w:firstLine="0"/>
              <w:jc w:val="center"/>
              <w:rPr>
                <w:sz w:val="22"/>
                <w:u w:val="single"/>
              </w:rPr>
            </w:pPr>
            <w:r w:rsidRPr="00B41B47">
              <w:rPr>
                <w:sz w:val="22"/>
                <w:u w:val="single"/>
              </w:rPr>
              <w:t xml:space="preserve">DV: Provision </w:t>
            </w:r>
            <w:r w:rsidR="002803F5">
              <w:rPr>
                <w:sz w:val="22"/>
                <w:u w:val="single"/>
              </w:rPr>
              <w:t xml:space="preserve">Dropped or </w:t>
            </w:r>
            <w:r w:rsidRPr="00B41B47">
              <w:rPr>
                <w:sz w:val="22"/>
                <w:u w:val="single"/>
              </w:rPr>
              <w:t>Changed by Chamber</w:t>
            </w:r>
          </w:p>
        </w:tc>
      </w:tr>
      <w:tr w:rsidR="00B00DE1" w:rsidRPr="00B41B47">
        <w:trPr>
          <w:jc w:val="center"/>
        </w:trPr>
        <w:tc>
          <w:tcPr>
            <w:tcW w:w="2052" w:type="dxa"/>
            <w:tcBorders>
              <w:top w:val="nil"/>
              <w:left w:val="nil"/>
              <w:right w:val="nil"/>
            </w:tcBorders>
          </w:tcPr>
          <w:p w:rsidR="00B00DE1" w:rsidRPr="00B41B47" w:rsidRDefault="00B00DE1" w:rsidP="00B41B47">
            <w:pPr>
              <w:spacing w:line="240" w:lineRule="auto"/>
              <w:ind w:firstLine="0"/>
              <w:jc w:val="center"/>
              <w:rPr>
                <w:sz w:val="22"/>
              </w:rPr>
            </w:pPr>
          </w:p>
        </w:tc>
        <w:tc>
          <w:tcPr>
            <w:tcW w:w="3150" w:type="dxa"/>
            <w:gridSpan w:val="2"/>
            <w:tcBorders>
              <w:top w:val="nil"/>
              <w:left w:val="nil"/>
              <w:right w:val="nil"/>
            </w:tcBorders>
          </w:tcPr>
          <w:p w:rsidR="00B00DE1" w:rsidRPr="00B41B47" w:rsidRDefault="00B00DE1" w:rsidP="00B41B47">
            <w:pPr>
              <w:spacing w:line="240" w:lineRule="auto"/>
              <w:ind w:firstLine="0"/>
              <w:jc w:val="center"/>
              <w:rPr>
                <w:sz w:val="22"/>
                <w:u w:val="single"/>
              </w:rPr>
            </w:pPr>
            <w:r w:rsidRPr="00B41B47">
              <w:rPr>
                <w:sz w:val="22"/>
                <w:u w:val="single"/>
              </w:rPr>
              <w:t>House</w:t>
            </w:r>
          </w:p>
        </w:tc>
        <w:tc>
          <w:tcPr>
            <w:tcW w:w="3438" w:type="dxa"/>
            <w:gridSpan w:val="2"/>
            <w:tcBorders>
              <w:top w:val="nil"/>
              <w:left w:val="nil"/>
              <w:right w:val="nil"/>
            </w:tcBorders>
          </w:tcPr>
          <w:p w:rsidR="00B00DE1" w:rsidRPr="00B41B47" w:rsidRDefault="00B00DE1" w:rsidP="00B41B47">
            <w:pPr>
              <w:spacing w:line="240" w:lineRule="auto"/>
              <w:ind w:firstLine="0"/>
              <w:jc w:val="center"/>
              <w:rPr>
                <w:sz w:val="22"/>
                <w:u w:val="single"/>
              </w:rPr>
            </w:pPr>
            <w:r w:rsidRPr="00B41B47">
              <w:rPr>
                <w:sz w:val="22"/>
                <w:u w:val="single"/>
              </w:rPr>
              <w:t>Senate</w:t>
            </w:r>
          </w:p>
        </w:tc>
      </w:tr>
      <w:tr w:rsidR="00B00DE1" w:rsidRPr="00B41B47">
        <w:trPr>
          <w:jc w:val="center"/>
        </w:trPr>
        <w:tc>
          <w:tcPr>
            <w:tcW w:w="2052" w:type="dxa"/>
            <w:tcBorders>
              <w:left w:val="nil"/>
              <w:bottom w:val="single" w:sz="4" w:space="0" w:color="auto"/>
              <w:right w:val="nil"/>
            </w:tcBorders>
          </w:tcPr>
          <w:p w:rsidR="00B00DE1" w:rsidRPr="00B41B47" w:rsidRDefault="00B00DE1" w:rsidP="00B41B47">
            <w:pPr>
              <w:spacing w:line="240" w:lineRule="auto"/>
              <w:ind w:firstLine="0"/>
              <w:jc w:val="center"/>
              <w:rPr>
                <w:sz w:val="22"/>
              </w:rPr>
            </w:pPr>
          </w:p>
        </w:tc>
        <w:tc>
          <w:tcPr>
            <w:tcW w:w="1620" w:type="dxa"/>
            <w:tcBorders>
              <w:left w:val="nil"/>
              <w:bottom w:val="single" w:sz="4" w:space="0" w:color="auto"/>
              <w:right w:val="nil"/>
            </w:tcBorders>
          </w:tcPr>
          <w:p w:rsidR="00B00DE1" w:rsidRPr="00B41B47" w:rsidRDefault="00B00DE1" w:rsidP="00B41B47">
            <w:pPr>
              <w:spacing w:line="240" w:lineRule="auto"/>
              <w:ind w:firstLine="0"/>
              <w:jc w:val="center"/>
              <w:rPr>
                <w:sz w:val="22"/>
              </w:rPr>
            </w:pPr>
            <w:r w:rsidRPr="00B41B47">
              <w:rPr>
                <w:sz w:val="22"/>
              </w:rPr>
              <w:t>(1)</w:t>
            </w:r>
          </w:p>
        </w:tc>
        <w:tc>
          <w:tcPr>
            <w:tcW w:w="1530" w:type="dxa"/>
            <w:tcBorders>
              <w:left w:val="nil"/>
              <w:bottom w:val="single" w:sz="4" w:space="0" w:color="auto"/>
              <w:right w:val="nil"/>
            </w:tcBorders>
          </w:tcPr>
          <w:p w:rsidR="00B00DE1" w:rsidRPr="00B41B47" w:rsidRDefault="00B00DE1" w:rsidP="00B41B47">
            <w:pPr>
              <w:spacing w:line="240" w:lineRule="auto"/>
              <w:ind w:firstLine="0"/>
              <w:jc w:val="center"/>
              <w:rPr>
                <w:sz w:val="22"/>
              </w:rPr>
            </w:pPr>
            <w:r w:rsidRPr="00B41B47">
              <w:rPr>
                <w:sz w:val="22"/>
              </w:rPr>
              <w:t>(2)</w:t>
            </w:r>
          </w:p>
        </w:tc>
        <w:tc>
          <w:tcPr>
            <w:tcW w:w="1710" w:type="dxa"/>
            <w:tcBorders>
              <w:left w:val="nil"/>
              <w:bottom w:val="single" w:sz="4" w:space="0" w:color="auto"/>
              <w:right w:val="nil"/>
            </w:tcBorders>
          </w:tcPr>
          <w:p w:rsidR="00B00DE1" w:rsidRPr="00B41B47" w:rsidRDefault="00B00DE1" w:rsidP="00B41B47">
            <w:pPr>
              <w:spacing w:line="240" w:lineRule="auto"/>
              <w:ind w:firstLine="0"/>
              <w:jc w:val="center"/>
              <w:rPr>
                <w:sz w:val="22"/>
              </w:rPr>
            </w:pPr>
            <w:r w:rsidRPr="00B41B47">
              <w:rPr>
                <w:sz w:val="22"/>
              </w:rPr>
              <w:t>(3)</w:t>
            </w:r>
          </w:p>
        </w:tc>
        <w:tc>
          <w:tcPr>
            <w:tcW w:w="1728" w:type="dxa"/>
            <w:tcBorders>
              <w:left w:val="nil"/>
              <w:bottom w:val="single" w:sz="4" w:space="0" w:color="auto"/>
              <w:right w:val="nil"/>
            </w:tcBorders>
          </w:tcPr>
          <w:p w:rsidR="00B00DE1" w:rsidRPr="00B41B47" w:rsidRDefault="00B00DE1" w:rsidP="00B41B47">
            <w:pPr>
              <w:spacing w:line="240" w:lineRule="auto"/>
              <w:ind w:firstLine="0"/>
              <w:jc w:val="center"/>
              <w:rPr>
                <w:sz w:val="22"/>
              </w:rPr>
            </w:pPr>
            <w:r w:rsidRPr="00B41B47">
              <w:rPr>
                <w:sz w:val="22"/>
              </w:rPr>
              <w:t>(4)</w:t>
            </w:r>
          </w:p>
        </w:tc>
      </w:tr>
      <w:tr w:rsidR="00B00DE1" w:rsidRPr="00B41B47">
        <w:trPr>
          <w:jc w:val="center"/>
        </w:trPr>
        <w:tc>
          <w:tcPr>
            <w:tcW w:w="2052" w:type="dxa"/>
            <w:tcBorders>
              <w:top w:val="single" w:sz="4" w:space="0" w:color="auto"/>
              <w:left w:val="nil"/>
              <w:bottom w:val="nil"/>
              <w:right w:val="nil"/>
            </w:tcBorders>
          </w:tcPr>
          <w:p w:rsidR="00B00DE1" w:rsidRPr="00B41B47" w:rsidRDefault="00B00DE1" w:rsidP="00B41B47">
            <w:pPr>
              <w:spacing w:line="240" w:lineRule="auto"/>
              <w:ind w:firstLine="0"/>
              <w:jc w:val="center"/>
              <w:rPr>
                <w:sz w:val="22"/>
              </w:rPr>
            </w:pPr>
          </w:p>
        </w:tc>
        <w:tc>
          <w:tcPr>
            <w:tcW w:w="1620" w:type="dxa"/>
            <w:tcBorders>
              <w:top w:val="single" w:sz="4" w:space="0" w:color="auto"/>
              <w:left w:val="nil"/>
              <w:bottom w:val="nil"/>
              <w:right w:val="nil"/>
            </w:tcBorders>
          </w:tcPr>
          <w:p w:rsidR="00B00DE1" w:rsidRPr="00B41B47" w:rsidRDefault="00B00DE1" w:rsidP="00B41B47">
            <w:pPr>
              <w:spacing w:line="240" w:lineRule="auto"/>
              <w:ind w:firstLine="0"/>
              <w:jc w:val="center"/>
              <w:rPr>
                <w:sz w:val="22"/>
              </w:rPr>
            </w:pPr>
          </w:p>
        </w:tc>
        <w:tc>
          <w:tcPr>
            <w:tcW w:w="1530" w:type="dxa"/>
            <w:tcBorders>
              <w:top w:val="single" w:sz="4" w:space="0" w:color="auto"/>
              <w:left w:val="nil"/>
              <w:bottom w:val="nil"/>
              <w:right w:val="nil"/>
            </w:tcBorders>
          </w:tcPr>
          <w:p w:rsidR="00B00DE1" w:rsidRPr="00B41B47" w:rsidRDefault="00B00DE1" w:rsidP="00B41B47">
            <w:pPr>
              <w:spacing w:line="240" w:lineRule="auto"/>
              <w:ind w:firstLine="0"/>
              <w:jc w:val="center"/>
              <w:rPr>
                <w:sz w:val="22"/>
              </w:rPr>
            </w:pPr>
          </w:p>
        </w:tc>
        <w:tc>
          <w:tcPr>
            <w:tcW w:w="1710" w:type="dxa"/>
            <w:tcBorders>
              <w:top w:val="single" w:sz="4" w:space="0" w:color="auto"/>
              <w:left w:val="nil"/>
              <w:bottom w:val="nil"/>
              <w:right w:val="nil"/>
            </w:tcBorders>
          </w:tcPr>
          <w:p w:rsidR="00B00DE1" w:rsidRPr="00B41B47" w:rsidRDefault="00B00DE1" w:rsidP="00B41B47">
            <w:pPr>
              <w:spacing w:line="240" w:lineRule="auto"/>
              <w:ind w:firstLine="0"/>
              <w:jc w:val="center"/>
              <w:rPr>
                <w:sz w:val="22"/>
              </w:rPr>
            </w:pPr>
          </w:p>
        </w:tc>
        <w:tc>
          <w:tcPr>
            <w:tcW w:w="1728" w:type="dxa"/>
            <w:tcBorders>
              <w:top w:val="single" w:sz="4" w:space="0" w:color="auto"/>
              <w:left w:val="nil"/>
              <w:bottom w:val="nil"/>
              <w:right w:val="nil"/>
            </w:tcBorders>
          </w:tcPr>
          <w:p w:rsidR="00B00DE1" w:rsidRPr="00B41B47" w:rsidRDefault="00B00DE1" w:rsidP="00B41B47">
            <w:pPr>
              <w:spacing w:line="240" w:lineRule="auto"/>
              <w:ind w:firstLine="0"/>
              <w:jc w:val="center"/>
              <w:rPr>
                <w:sz w:val="22"/>
              </w:rPr>
            </w:pP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Veto Threat</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1.364***</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1.104**</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1.681***</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2.786***</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(0.462)</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(0.502)</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(0.558)</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(0.614)</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Acting 2</w:t>
            </w:r>
            <w:r w:rsidRPr="00B41B47">
              <w:rPr>
                <w:sz w:val="22"/>
                <w:vertAlign w:val="superscript"/>
              </w:rPr>
              <w:t>nd</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0.681**</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-0.392</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0.870**</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1.997**</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(0.271)</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(0.705)</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(0.356)</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(0.881)</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Threat*Acting 2</w:t>
            </w:r>
            <w:r w:rsidRPr="00B41B47">
              <w:rPr>
                <w:sz w:val="22"/>
                <w:vertAlign w:val="superscript"/>
              </w:rPr>
              <w:t>nd</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1.272*</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-1.234</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(0.748)</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(0.860)</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Opposition House</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-0.114</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-0.110</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-1.461***</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-1.453***</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(0.585)</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(0.580)</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(0.553)</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(0.562)</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Opposition Senate</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-0.046</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-0.039</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0.600</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0.581</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(0.382)</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(0.374)</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(0.480)</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(0.480)</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Constant</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-1.958***</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-1.730**</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-1.662**</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-2.677***</w:t>
            </w:r>
          </w:p>
        </w:tc>
      </w:tr>
      <w:tr w:rsidR="00B41B47" w:rsidRPr="00B41B47">
        <w:trPr>
          <w:jc w:val="center"/>
        </w:trPr>
        <w:tc>
          <w:tcPr>
            <w:tcW w:w="2052" w:type="dxa"/>
            <w:tcBorders>
              <w:top w:val="nil"/>
              <w:left w:val="nil"/>
              <w:right w:val="nil"/>
            </w:tcBorders>
          </w:tcPr>
          <w:p w:rsidR="00B41B47" w:rsidRPr="00B41B47" w:rsidRDefault="00B41B47" w:rsidP="00B41B47">
            <w:pPr>
              <w:spacing w:line="240" w:lineRule="auto"/>
              <w:ind w:firstLine="0"/>
              <w:jc w:val="center"/>
              <w:rPr>
                <w:sz w:val="22"/>
              </w:rPr>
            </w:pPr>
          </w:p>
        </w:tc>
        <w:tc>
          <w:tcPr>
            <w:tcW w:w="1620" w:type="dxa"/>
            <w:tcBorders>
              <w:top w:val="nil"/>
              <w:left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(0.724)</w:t>
            </w:r>
          </w:p>
        </w:tc>
        <w:tc>
          <w:tcPr>
            <w:tcW w:w="1530" w:type="dxa"/>
            <w:tcBorders>
              <w:top w:val="nil"/>
              <w:left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(0.739)</w:t>
            </w:r>
          </w:p>
        </w:tc>
        <w:tc>
          <w:tcPr>
            <w:tcW w:w="1710" w:type="dxa"/>
            <w:tcBorders>
              <w:top w:val="nil"/>
              <w:left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(0.705)</w:t>
            </w:r>
          </w:p>
        </w:tc>
        <w:tc>
          <w:tcPr>
            <w:tcW w:w="1728" w:type="dxa"/>
            <w:tcBorders>
              <w:top w:val="nil"/>
              <w:left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(0.815)</w:t>
            </w:r>
          </w:p>
        </w:tc>
      </w:tr>
      <w:tr w:rsidR="00B41B47" w:rsidRPr="00B41B47">
        <w:trPr>
          <w:jc w:val="center"/>
        </w:trPr>
        <w:tc>
          <w:tcPr>
            <w:tcW w:w="2052" w:type="dxa"/>
            <w:tcBorders>
              <w:top w:val="nil"/>
              <w:left w:val="nil"/>
              <w:bottom w:val="single" w:sz="4" w:space="0" w:color="auto"/>
              <w:right w:val="nil"/>
            </w:tcBorders>
          </w:tcPr>
          <w:p w:rsidR="00B41B47" w:rsidRPr="00B41B47" w:rsidRDefault="00B41B47" w:rsidP="00B41B47">
            <w:pPr>
              <w:spacing w:line="240" w:lineRule="auto"/>
              <w:ind w:firstLine="0"/>
              <w:jc w:val="center"/>
              <w:rPr>
                <w:sz w:val="22"/>
              </w:rPr>
            </w:pPr>
          </w:p>
        </w:tc>
        <w:tc>
          <w:tcPr>
            <w:tcW w:w="1620" w:type="dxa"/>
            <w:tcBorders>
              <w:top w:val="nil"/>
              <w:left w:val="nil"/>
              <w:bottom w:val="single" w:sz="4"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DejaVu Sans"/>
                <w:sz w:val="22"/>
              </w:rPr>
            </w:pPr>
          </w:p>
        </w:tc>
        <w:tc>
          <w:tcPr>
            <w:tcW w:w="1530" w:type="dxa"/>
            <w:tcBorders>
              <w:top w:val="nil"/>
              <w:left w:val="nil"/>
              <w:bottom w:val="single" w:sz="4" w:space="0" w:color="auto"/>
              <w:right w:val="nil"/>
            </w:tcBorders>
          </w:tcPr>
          <w:p w:rsidR="00B41B47" w:rsidRPr="00B41B47" w:rsidRDefault="00B41B47" w:rsidP="00B41B47">
            <w:pPr>
              <w:widowControl w:val="0"/>
              <w:autoSpaceDE w:val="0"/>
              <w:autoSpaceDN w:val="0"/>
              <w:adjustRightInd w:val="0"/>
              <w:spacing w:line="240" w:lineRule="auto"/>
              <w:jc w:val="center"/>
              <w:rPr>
                <w:rFonts w:cs="DejaVu Sans"/>
                <w:sz w:val="22"/>
              </w:rPr>
            </w:pPr>
          </w:p>
        </w:tc>
        <w:tc>
          <w:tcPr>
            <w:tcW w:w="1710" w:type="dxa"/>
            <w:tcBorders>
              <w:top w:val="nil"/>
              <w:left w:val="nil"/>
              <w:bottom w:val="single" w:sz="4"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DejaVu Sans"/>
                <w:sz w:val="22"/>
              </w:rPr>
            </w:pPr>
          </w:p>
        </w:tc>
        <w:tc>
          <w:tcPr>
            <w:tcW w:w="1728" w:type="dxa"/>
            <w:tcBorders>
              <w:top w:val="nil"/>
              <w:left w:val="nil"/>
              <w:bottom w:val="single" w:sz="4"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DejaVu Sans"/>
                <w:sz w:val="22"/>
              </w:rPr>
            </w:pPr>
          </w:p>
        </w:tc>
      </w:tr>
      <w:tr w:rsidR="00B41B47" w:rsidRPr="00B41B47">
        <w:trPr>
          <w:jc w:val="center"/>
        </w:trPr>
        <w:tc>
          <w:tcPr>
            <w:tcW w:w="2052" w:type="dxa"/>
            <w:tcBorders>
              <w:top w:val="single" w:sz="4" w:space="0" w:color="auto"/>
              <w:left w:val="nil"/>
              <w:bottom w:val="nil"/>
              <w:right w:val="nil"/>
            </w:tcBorders>
          </w:tcPr>
          <w:p w:rsidR="00B41B47" w:rsidRPr="00B41B47" w:rsidRDefault="00B41B47" w:rsidP="00B41B47">
            <w:pPr>
              <w:spacing w:line="240" w:lineRule="auto"/>
              <w:ind w:firstLine="0"/>
              <w:jc w:val="center"/>
              <w:rPr>
                <w:sz w:val="22"/>
              </w:rPr>
            </w:pPr>
            <w:r w:rsidRPr="00B41B47">
              <w:rPr>
                <w:sz w:val="22"/>
              </w:rPr>
              <w:t>Observations</w:t>
            </w:r>
          </w:p>
        </w:tc>
        <w:tc>
          <w:tcPr>
            <w:tcW w:w="1620" w:type="dxa"/>
            <w:tcBorders>
              <w:top w:val="single" w:sz="4" w:space="0" w:color="auto"/>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1,088</w:t>
            </w:r>
          </w:p>
        </w:tc>
        <w:tc>
          <w:tcPr>
            <w:tcW w:w="1530" w:type="dxa"/>
            <w:tcBorders>
              <w:top w:val="single" w:sz="4" w:space="0" w:color="auto"/>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1,088</w:t>
            </w:r>
          </w:p>
        </w:tc>
        <w:tc>
          <w:tcPr>
            <w:tcW w:w="1710" w:type="dxa"/>
            <w:tcBorders>
              <w:top w:val="single" w:sz="4" w:space="0" w:color="auto"/>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954</w:t>
            </w:r>
          </w:p>
        </w:tc>
        <w:tc>
          <w:tcPr>
            <w:tcW w:w="1728" w:type="dxa"/>
            <w:tcBorders>
              <w:top w:val="single" w:sz="4" w:space="0" w:color="auto"/>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954</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Administration FE</w:t>
            </w:r>
          </w:p>
        </w:tc>
        <w:tc>
          <w:tcPr>
            <w:tcW w:w="162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Yes</w:t>
            </w:r>
          </w:p>
        </w:tc>
        <w:tc>
          <w:tcPr>
            <w:tcW w:w="153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Yes</w:t>
            </w:r>
          </w:p>
        </w:tc>
        <w:tc>
          <w:tcPr>
            <w:tcW w:w="171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Yes</w:t>
            </w:r>
          </w:p>
        </w:tc>
        <w:tc>
          <w:tcPr>
            <w:tcW w:w="1728"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Yes</w:t>
            </w:r>
          </w:p>
        </w:tc>
      </w:tr>
      <w:tr w:rsidR="00B41B47" w:rsidRPr="00B41B47">
        <w:trPr>
          <w:jc w:val="center"/>
        </w:trPr>
        <w:tc>
          <w:tcPr>
            <w:tcW w:w="2052"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Sampling Strategy</w:t>
            </w:r>
          </w:p>
        </w:tc>
        <w:tc>
          <w:tcPr>
            <w:tcW w:w="162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Genetic Match</w:t>
            </w:r>
          </w:p>
        </w:tc>
        <w:tc>
          <w:tcPr>
            <w:tcW w:w="153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Genetic Match</w:t>
            </w:r>
          </w:p>
        </w:tc>
        <w:tc>
          <w:tcPr>
            <w:tcW w:w="1710"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Genetic Match</w:t>
            </w:r>
          </w:p>
        </w:tc>
        <w:tc>
          <w:tcPr>
            <w:tcW w:w="1728"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Genetic Match</w:t>
            </w:r>
          </w:p>
        </w:tc>
      </w:tr>
      <w:tr w:rsidR="00B41B47" w:rsidRPr="00B41B47">
        <w:trPr>
          <w:jc w:val="center"/>
        </w:trPr>
        <w:tc>
          <w:tcPr>
            <w:tcW w:w="2052" w:type="dxa"/>
            <w:tcBorders>
              <w:top w:val="nil"/>
              <w:left w:val="nil"/>
              <w:bottom w:val="nil"/>
              <w:right w:val="nil"/>
            </w:tcBorders>
          </w:tcPr>
          <w:p w:rsidR="00B41B47" w:rsidRPr="00B41B47" w:rsidRDefault="00B41B47" w:rsidP="00B41B47">
            <w:pPr>
              <w:spacing w:line="240" w:lineRule="auto"/>
              <w:ind w:firstLine="0"/>
              <w:jc w:val="center"/>
              <w:rPr>
                <w:sz w:val="22"/>
              </w:rPr>
            </w:pPr>
            <w:r w:rsidRPr="00B41B47">
              <w:rPr>
                <w:sz w:val="22"/>
              </w:rPr>
              <w:t>Pseudo R-squared</w:t>
            </w:r>
          </w:p>
        </w:tc>
        <w:tc>
          <w:tcPr>
            <w:tcW w:w="162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0.0565</w:t>
            </w:r>
          </w:p>
        </w:tc>
        <w:tc>
          <w:tcPr>
            <w:tcW w:w="153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0.0609</w:t>
            </w:r>
          </w:p>
        </w:tc>
        <w:tc>
          <w:tcPr>
            <w:tcW w:w="1710"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0.101</w:t>
            </w:r>
          </w:p>
        </w:tc>
        <w:tc>
          <w:tcPr>
            <w:tcW w:w="1728" w:type="dxa"/>
            <w:tcBorders>
              <w:top w:val="nil"/>
              <w:left w:val="nil"/>
              <w:bottom w:val="nil"/>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0.103</w:t>
            </w:r>
          </w:p>
        </w:tc>
      </w:tr>
      <w:tr w:rsidR="00B41B47" w:rsidRPr="00B41B47">
        <w:tblPrEx>
          <w:tblBorders>
            <w:bottom w:val="single" w:sz="6" w:space="0" w:color="auto"/>
          </w:tblBorders>
        </w:tblPrEx>
        <w:trPr>
          <w:jc w:val="center"/>
        </w:trPr>
        <w:tc>
          <w:tcPr>
            <w:tcW w:w="2052" w:type="dxa"/>
            <w:tcBorders>
              <w:top w:val="nil"/>
              <w:left w:val="nil"/>
              <w:bottom w:val="single" w:sz="6" w:space="0" w:color="auto"/>
              <w:right w:val="nil"/>
            </w:tcBorders>
          </w:tcPr>
          <w:p w:rsidR="00B41B47" w:rsidRPr="00B41B47" w:rsidRDefault="00B41B47" w:rsidP="00B41B47">
            <w:pPr>
              <w:spacing w:line="240" w:lineRule="auto"/>
              <w:ind w:firstLine="0"/>
              <w:jc w:val="center"/>
              <w:rPr>
                <w:sz w:val="22"/>
              </w:rPr>
            </w:pPr>
            <w:r w:rsidRPr="00B41B47">
              <w:rPr>
                <w:sz w:val="22"/>
              </w:rPr>
              <w:t>Log Likelihood</w:t>
            </w:r>
          </w:p>
        </w:tc>
        <w:tc>
          <w:tcPr>
            <w:tcW w:w="1620" w:type="dxa"/>
            <w:tcBorders>
              <w:top w:val="nil"/>
              <w:left w:val="nil"/>
              <w:bottom w:val="single" w:sz="6"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-568.1</w:t>
            </w:r>
          </w:p>
        </w:tc>
        <w:tc>
          <w:tcPr>
            <w:tcW w:w="1530" w:type="dxa"/>
            <w:tcBorders>
              <w:top w:val="nil"/>
              <w:left w:val="nil"/>
              <w:bottom w:val="single" w:sz="6"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-565.5</w:t>
            </w:r>
          </w:p>
        </w:tc>
        <w:tc>
          <w:tcPr>
            <w:tcW w:w="1710" w:type="dxa"/>
            <w:tcBorders>
              <w:top w:val="nil"/>
              <w:left w:val="nil"/>
              <w:bottom w:val="single" w:sz="6"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-574.8</w:t>
            </w:r>
          </w:p>
        </w:tc>
        <w:tc>
          <w:tcPr>
            <w:tcW w:w="1728" w:type="dxa"/>
            <w:tcBorders>
              <w:top w:val="nil"/>
              <w:left w:val="nil"/>
              <w:bottom w:val="single" w:sz="6" w:space="0" w:color="auto"/>
              <w:right w:val="nil"/>
            </w:tcBorders>
          </w:tcPr>
          <w:p w:rsidR="00B41B47" w:rsidRPr="00B41B47" w:rsidRDefault="00B41B47" w:rsidP="00B41B47">
            <w:pPr>
              <w:widowControl w:val="0"/>
              <w:autoSpaceDE w:val="0"/>
              <w:autoSpaceDN w:val="0"/>
              <w:adjustRightInd w:val="0"/>
              <w:spacing w:line="240" w:lineRule="auto"/>
              <w:ind w:firstLine="0"/>
              <w:jc w:val="center"/>
              <w:rPr>
                <w:rFonts w:cs="Times New Roman"/>
                <w:sz w:val="22"/>
              </w:rPr>
            </w:pPr>
            <w:r w:rsidRPr="00B41B47">
              <w:rPr>
                <w:rFonts w:cs="Times New Roman"/>
                <w:sz w:val="22"/>
              </w:rPr>
              <w:t>-573.1</w:t>
            </w:r>
          </w:p>
        </w:tc>
      </w:tr>
    </w:tbl>
    <w:p w:rsidR="00B00DE1" w:rsidRPr="003548B8" w:rsidRDefault="00B00DE1" w:rsidP="00406646">
      <w:pPr>
        <w:spacing w:line="240" w:lineRule="auto"/>
        <w:ind w:firstLine="0"/>
        <w:jc w:val="center"/>
        <w:rPr>
          <w:sz w:val="22"/>
        </w:rPr>
      </w:pPr>
      <w:r w:rsidRPr="003548B8">
        <w:rPr>
          <w:sz w:val="22"/>
        </w:rPr>
        <w:t>Clustered standard errors in parentheses (Clustered on Bill)</w:t>
      </w:r>
    </w:p>
    <w:p w:rsidR="00B00DE1" w:rsidRDefault="00B00DE1" w:rsidP="00406646">
      <w:pPr>
        <w:spacing w:line="240" w:lineRule="auto"/>
        <w:ind w:firstLine="0"/>
        <w:jc w:val="center"/>
        <w:rPr>
          <w:sz w:val="22"/>
        </w:rPr>
      </w:pPr>
      <w:r w:rsidRPr="003548B8">
        <w:rPr>
          <w:sz w:val="22"/>
        </w:rPr>
        <w:t xml:space="preserve">*** </w:t>
      </w:r>
      <w:proofErr w:type="gramStart"/>
      <w:r w:rsidRPr="003548B8">
        <w:rPr>
          <w:sz w:val="22"/>
        </w:rPr>
        <w:t>p</w:t>
      </w:r>
      <w:proofErr w:type="gramEnd"/>
      <w:r w:rsidRPr="003548B8">
        <w:rPr>
          <w:sz w:val="22"/>
        </w:rPr>
        <w:t>&lt;0.01, ** p&lt;0.05, * p&lt;0.1</w:t>
      </w:r>
    </w:p>
    <w:p w:rsidR="00B00DE1" w:rsidRPr="00F70DCF" w:rsidRDefault="00FD4BDF" w:rsidP="00B00DE1">
      <w:pPr>
        <w:spacing w:line="240" w:lineRule="auto"/>
        <w:ind w:firstLine="0"/>
        <w:jc w:val="center"/>
        <w:rPr>
          <w:sz w:val="22"/>
        </w:rPr>
      </w:pPr>
      <w:r>
        <w:rPr>
          <w:sz w:val="22"/>
        </w:rPr>
        <w:br w:type="page"/>
      </w:r>
    </w:p>
    <w:p w:rsidR="00B00DE1" w:rsidRDefault="00B00DE1" w:rsidP="00B00DE1">
      <w:pPr>
        <w:spacing w:line="240" w:lineRule="auto"/>
        <w:ind w:firstLine="0"/>
        <w:jc w:val="center"/>
        <w:rPr>
          <w:b/>
          <w:sz w:val="32"/>
        </w:rPr>
      </w:pPr>
      <w:r w:rsidRPr="003548B8">
        <w:rPr>
          <w:b/>
          <w:sz w:val="32"/>
        </w:rPr>
        <w:t xml:space="preserve">Figure </w:t>
      </w:r>
      <w:r w:rsidR="00546247">
        <w:rPr>
          <w:b/>
          <w:sz w:val="32"/>
        </w:rPr>
        <w:t>5</w:t>
      </w:r>
      <w:r>
        <w:rPr>
          <w:b/>
          <w:sz w:val="32"/>
        </w:rPr>
        <w:t>.</w:t>
      </w:r>
    </w:p>
    <w:p w:rsidR="00B00DE1" w:rsidRDefault="00B00DE1" w:rsidP="00B00DE1">
      <w:pPr>
        <w:spacing w:line="240" w:lineRule="auto"/>
        <w:ind w:firstLine="0"/>
        <w:jc w:val="center"/>
        <w:rPr>
          <w:b/>
          <w:sz w:val="32"/>
        </w:rPr>
      </w:pPr>
      <w:r w:rsidRPr="003548B8">
        <w:rPr>
          <w:b/>
          <w:sz w:val="32"/>
        </w:rPr>
        <w:t xml:space="preserve"> </w:t>
      </w:r>
      <w:r>
        <w:rPr>
          <w:b/>
          <w:sz w:val="32"/>
        </w:rPr>
        <w:t>Chamber Differences in Response to Veto Threats*</w:t>
      </w:r>
    </w:p>
    <w:p w:rsidR="00B00DE1" w:rsidRDefault="002D2CA4" w:rsidP="00B00DE1">
      <w:pPr>
        <w:spacing w:line="240" w:lineRule="auto"/>
        <w:ind w:firstLine="0"/>
        <w:jc w:val="center"/>
        <w:rPr>
          <w:color w:val="FF0000"/>
          <w:sz w:val="32"/>
          <w:szCs w:val="32"/>
        </w:rPr>
      </w:pPr>
      <w:r>
        <w:rPr>
          <w:noProof/>
          <w:color w:val="FF0000"/>
          <w:sz w:val="32"/>
          <w:szCs w:val="32"/>
        </w:rPr>
        <w:drawing>
          <wp:inline distT="0" distB="0" distL="0" distR="0">
            <wp:extent cx="6146800" cy="4468606"/>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6150904" cy="4471590"/>
                    </a:xfrm>
                    <a:prstGeom prst="rect">
                      <a:avLst/>
                    </a:prstGeom>
                    <a:noFill/>
                    <a:ln w="9525">
                      <a:noFill/>
                      <a:miter lim="800000"/>
                      <a:headEnd/>
                      <a:tailEnd/>
                    </a:ln>
                  </pic:spPr>
                </pic:pic>
              </a:graphicData>
            </a:graphic>
          </wp:inline>
        </w:drawing>
      </w:r>
    </w:p>
    <w:p w:rsidR="00682E80" w:rsidRDefault="00682E80" w:rsidP="000668CE">
      <w:pPr>
        <w:spacing w:line="240" w:lineRule="auto"/>
        <w:ind w:firstLine="0"/>
        <w:jc w:val="center"/>
        <w:rPr>
          <w:b/>
          <w:sz w:val="32"/>
        </w:rPr>
      </w:pPr>
      <w:r>
        <w:t>*</w:t>
      </w:r>
      <w:r w:rsidRPr="00CE7ED4">
        <w:t xml:space="preserve"> </w:t>
      </w:r>
      <w:r>
        <w:t xml:space="preserve">Based on estimates in </w:t>
      </w:r>
      <w:r w:rsidR="00C66420">
        <w:t>equation</w:t>
      </w:r>
      <w:r>
        <w:t xml:space="preserve">s 2 </w:t>
      </w:r>
      <w:r w:rsidR="00FE27AC">
        <w:t>and</w:t>
      </w:r>
      <w:r>
        <w:t xml:space="preserve"> 4, Table 3</w:t>
      </w:r>
    </w:p>
    <w:p w:rsidR="00F24CC6" w:rsidRDefault="00546247" w:rsidP="00B00DE1">
      <w:pPr>
        <w:widowControl w:val="0"/>
        <w:autoSpaceDE w:val="0"/>
        <w:autoSpaceDN w:val="0"/>
        <w:adjustRightInd w:val="0"/>
        <w:spacing w:line="240" w:lineRule="auto"/>
        <w:jc w:val="center"/>
        <w:rPr>
          <w:color w:val="FF0000"/>
          <w:sz w:val="32"/>
          <w:szCs w:val="32"/>
        </w:rPr>
      </w:pPr>
      <w:r>
        <w:rPr>
          <w:color w:val="FF0000"/>
          <w:sz w:val="32"/>
          <w:szCs w:val="32"/>
        </w:rPr>
        <w:br w:type="page"/>
      </w:r>
    </w:p>
    <w:p w:rsidR="009F1580" w:rsidRDefault="00B00DE1" w:rsidP="00B00DE1">
      <w:pPr>
        <w:widowControl w:val="0"/>
        <w:autoSpaceDE w:val="0"/>
        <w:autoSpaceDN w:val="0"/>
        <w:adjustRightInd w:val="0"/>
        <w:spacing w:line="240" w:lineRule="auto"/>
        <w:jc w:val="center"/>
        <w:rPr>
          <w:b/>
          <w:sz w:val="32"/>
        </w:rPr>
      </w:pPr>
      <w:r w:rsidRPr="003548B8">
        <w:rPr>
          <w:b/>
          <w:sz w:val="32"/>
        </w:rPr>
        <w:t xml:space="preserve">Table </w:t>
      </w:r>
      <w:r w:rsidR="00E72FC6">
        <w:rPr>
          <w:b/>
          <w:sz w:val="32"/>
        </w:rPr>
        <w:t>5</w:t>
      </w:r>
      <w:r>
        <w:rPr>
          <w:b/>
          <w:sz w:val="32"/>
        </w:rPr>
        <w:t>.</w:t>
      </w:r>
    </w:p>
    <w:p w:rsidR="00F24CC6" w:rsidRDefault="009F1580" w:rsidP="00CB4D36">
      <w:pPr>
        <w:widowControl w:val="0"/>
        <w:autoSpaceDE w:val="0"/>
        <w:autoSpaceDN w:val="0"/>
        <w:adjustRightInd w:val="0"/>
        <w:spacing w:line="240" w:lineRule="auto"/>
        <w:jc w:val="center"/>
        <w:rPr>
          <w:b/>
          <w:sz w:val="32"/>
        </w:rPr>
      </w:pPr>
      <w:r>
        <w:rPr>
          <w:b/>
          <w:sz w:val="32"/>
        </w:rPr>
        <w:t>Share of Threatened Provisions Following Pathways to Conference</w:t>
      </w:r>
    </w:p>
    <w:tbl>
      <w:tblPr>
        <w:tblStyle w:val="TableGrid"/>
        <w:tblW w:w="0" w:type="auto"/>
        <w:jc w:val="center"/>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160"/>
        <w:gridCol w:w="3240"/>
      </w:tblGrid>
      <w:tr w:rsidR="00F24CC6" w:rsidRPr="009F1580">
        <w:trPr>
          <w:jc w:val="center"/>
        </w:trPr>
        <w:tc>
          <w:tcPr>
            <w:tcW w:w="2160" w:type="dxa"/>
            <w:tcBorders>
              <w:bottom w:val="single" w:sz="4" w:space="0" w:color="auto"/>
            </w:tcBorders>
          </w:tcPr>
          <w:p w:rsidR="00F24CC6" w:rsidRPr="00CB4D36" w:rsidRDefault="00F24CC6" w:rsidP="00CB4D36">
            <w:pPr>
              <w:widowControl w:val="0"/>
              <w:autoSpaceDE w:val="0"/>
              <w:autoSpaceDN w:val="0"/>
              <w:adjustRightInd w:val="0"/>
              <w:spacing w:line="240" w:lineRule="auto"/>
              <w:ind w:firstLine="0"/>
              <w:rPr>
                <w:b/>
              </w:rPr>
            </w:pPr>
            <w:r w:rsidRPr="00CB4D36">
              <w:rPr>
                <w:b/>
              </w:rPr>
              <w:t>Pathway</w:t>
            </w:r>
          </w:p>
        </w:tc>
        <w:tc>
          <w:tcPr>
            <w:tcW w:w="3240" w:type="dxa"/>
            <w:tcBorders>
              <w:bottom w:val="single" w:sz="4" w:space="0" w:color="auto"/>
            </w:tcBorders>
          </w:tcPr>
          <w:p w:rsidR="00F24CC6" w:rsidRPr="00CB4D36" w:rsidRDefault="00F24CC6" w:rsidP="00F24CC6">
            <w:pPr>
              <w:widowControl w:val="0"/>
              <w:autoSpaceDE w:val="0"/>
              <w:autoSpaceDN w:val="0"/>
              <w:adjustRightInd w:val="0"/>
              <w:spacing w:line="240" w:lineRule="auto"/>
              <w:ind w:firstLine="0"/>
              <w:jc w:val="center"/>
              <w:rPr>
                <w:b/>
              </w:rPr>
            </w:pPr>
            <w:r w:rsidRPr="00CB4D36">
              <w:rPr>
                <w:b/>
              </w:rPr>
              <w:t xml:space="preserve">% </w:t>
            </w:r>
            <w:proofErr w:type="gramStart"/>
            <w:r w:rsidRPr="00CB4D36">
              <w:rPr>
                <w:b/>
              </w:rPr>
              <w:t>of</w:t>
            </w:r>
            <w:proofErr w:type="gramEnd"/>
            <w:r w:rsidRPr="00CB4D36">
              <w:rPr>
                <w:b/>
              </w:rPr>
              <w:t xml:space="preserve"> </w:t>
            </w:r>
            <w:r w:rsidR="009F1580" w:rsidRPr="00CB4D36">
              <w:rPr>
                <w:b/>
              </w:rPr>
              <w:t xml:space="preserve">Threatened </w:t>
            </w:r>
            <w:r w:rsidRPr="00CB4D36">
              <w:rPr>
                <w:b/>
              </w:rPr>
              <w:t>Provisions</w:t>
            </w:r>
          </w:p>
        </w:tc>
      </w:tr>
      <w:tr w:rsidR="00F24CC6" w:rsidRPr="009F1580">
        <w:trPr>
          <w:jc w:val="center"/>
        </w:trPr>
        <w:tc>
          <w:tcPr>
            <w:tcW w:w="2160" w:type="dxa"/>
            <w:tcBorders>
              <w:top w:val="single" w:sz="4" w:space="0" w:color="auto"/>
            </w:tcBorders>
            <w:vAlign w:val="center"/>
          </w:tcPr>
          <w:p w:rsidR="00CB4D36" w:rsidRDefault="00F24CC6" w:rsidP="00CB4D36">
            <w:pPr>
              <w:widowControl w:val="0"/>
              <w:autoSpaceDE w:val="0"/>
              <w:autoSpaceDN w:val="0"/>
              <w:adjustRightInd w:val="0"/>
              <w:spacing w:line="240" w:lineRule="auto"/>
              <w:ind w:firstLine="0"/>
              <w:jc w:val="center"/>
            </w:pPr>
            <w:r w:rsidRPr="009F1580">
              <w:t>Same Chamber</w:t>
            </w:r>
          </w:p>
          <w:p w:rsidR="00F24CC6" w:rsidRPr="009F1580" w:rsidRDefault="00F24CC6" w:rsidP="00CB4D36">
            <w:pPr>
              <w:widowControl w:val="0"/>
              <w:autoSpaceDE w:val="0"/>
              <w:autoSpaceDN w:val="0"/>
              <w:adjustRightInd w:val="0"/>
              <w:spacing w:line="240" w:lineRule="auto"/>
              <w:ind w:firstLine="0"/>
              <w:jc w:val="center"/>
            </w:pPr>
            <w:r w:rsidRPr="009F1580">
              <w:t>Haggle</w:t>
            </w:r>
          </w:p>
        </w:tc>
        <w:tc>
          <w:tcPr>
            <w:tcW w:w="3240" w:type="dxa"/>
            <w:tcBorders>
              <w:top w:val="single" w:sz="4" w:space="0" w:color="auto"/>
            </w:tcBorders>
            <w:vAlign w:val="center"/>
          </w:tcPr>
          <w:p w:rsidR="00F24CC6" w:rsidRPr="009F1580" w:rsidRDefault="00F24CC6" w:rsidP="00CB4D36">
            <w:pPr>
              <w:widowControl w:val="0"/>
              <w:autoSpaceDE w:val="0"/>
              <w:autoSpaceDN w:val="0"/>
              <w:adjustRightInd w:val="0"/>
              <w:spacing w:line="240" w:lineRule="auto"/>
              <w:ind w:firstLine="0"/>
              <w:jc w:val="center"/>
            </w:pPr>
            <w:r w:rsidRPr="009F1580">
              <w:t>18</w:t>
            </w:r>
          </w:p>
        </w:tc>
      </w:tr>
      <w:tr w:rsidR="00F24CC6" w:rsidRPr="009F1580">
        <w:trPr>
          <w:jc w:val="center"/>
        </w:trPr>
        <w:tc>
          <w:tcPr>
            <w:tcW w:w="2160" w:type="dxa"/>
            <w:vAlign w:val="center"/>
          </w:tcPr>
          <w:p w:rsidR="00CB4D36" w:rsidRDefault="00F24CC6" w:rsidP="00CB4D36">
            <w:pPr>
              <w:widowControl w:val="0"/>
              <w:autoSpaceDE w:val="0"/>
              <w:autoSpaceDN w:val="0"/>
              <w:adjustRightInd w:val="0"/>
              <w:spacing w:line="240" w:lineRule="auto"/>
              <w:ind w:firstLine="0"/>
              <w:jc w:val="center"/>
            </w:pPr>
            <w:r w:rsidRPr="009F1580">
              <w:t>Bicameral</w:t>
            </w:r>
          </w:p>
          <w:p w:rsidR="00F24CC6" w:rsidRPr="009F1580" w:rsidRDefault="00F24CC6" w:rsidP="00CB4D36">
            <w:pPr>
              <w:widowControl w:val="0"/>
              <w:autoSpaceDE w:val="0"/>
              <w:autoSpaceDN w:val="0"/>
              <w:adjustRightInd w:val="0"/>
              <w:spacing w:line="240" w:lineRule="auto"/>
              <w:ind w:firstLine="0"/>
              <w:jc w:val="center"/>
            </w:pPr>
            <w:r w:rsidRPr="009F1580">
              <w:t>Haggle</w:t>
            </w:r>
          </w:p>
        </w:tc>
        <w:tc>
          <w:tcPr>
            <w:tcW w:w="3240" w:type="dxa"/>
            <w:vAlign w:val="center"/>
          </w:tcPr>
          <w:p w:rsidR="00F24CC6" w:rsidRPr="009F1580" w:rsidRDefault="00F24CC6" w:rsidP="00CB4D36">
            <w:pPr>
              <w:widowControl w:val="0"/>
              <w:autoSpaceDE w:val="0"/>
              <w:autoSpaceDN w:val="0"/>
              <w:adjustRightInd w:val="0"/>
              <w:spacing w:line="240" w:lineRule="auto"/>
              <w:ind w:firstLine="0"/>
              <w:jc w:val="center"/>
            </w:pPr>
            <w:r w:rsidRPr="009F1580">
              <w:t>38</w:t>
            </w:r>
          </w:p>
        </w:tc>
      </w:tr>
      <w:tr w:rsidR="00F24CC6" w:rsidRPr="009F1580">
        <w:trPr>
          <w:jc w:val="center"/>
        </w:trPr>
        <w:tc>
          <w:tcPr>
            <w:tcW w:w="2160" w:type="dxa"/>
            <w:vAlign w:val="center"/>
          </w:tcPr>
          <w:p w:rsidR="00CB4D36" w:rsidRDefault="00F24CC6" w:rsidP="00CB4D36">
            <w:pPr>
              <w:widowControl w:val="0"/>
              <w:autoSpaceDE w:val="0"/>
              <w:autoSpaceDN w:val="0"/>
              <w:adjustRightInd w:val="0"/>
              <w:spacing w:line="240" w:lineRule="auto"/>
              <w:ind w:firstLine="0"/>
              <w:jc w:val="center"/>
            </w:pPr>
            <w:r w:rsidRPr="009F1580">
              <w:t>Stonewalls</w:t>
            </w:r>
          </w:p>
          <w:p w:rsidR="00F24CC6" w:rsidRPr="009F1580" w:rsidRDefault="00F24CC6" w:rsidP="00CB4D36">
            <w:pPr>
              <w:widowControl w:val="0"/>
              <w:autoSpaceDE w:val="0"/>
              <w:autoSpaceDN w:val="0"/>
              <w:adjustRightInd w:val="0"/>
              <w:spacing w:line="240" w:lineRule="auto"/>
              <w:ind w:firstLine="0"/>
              <w:jc w:val="center"/>
            </w:pPr>
          </w:p>
        </w:tc>
        <w:tc>
          <w:tcPr>
            <w:tcW w:w="3240" w:type="dxa"/>
            <w:vAlign w:val="center"/>
          </w:tcPr>
          <w:p w:rsidR="00F24CC6" w:rsidRPr="009F1580" w:rsidRDefault="00F24CC6" w:rsidP="00CB4D36">
            <w:pPr>
              <w:widowControl w:val="0"/>
              <w:autoSpaceDE w:val="0"/>
              <w:autoSpaceDN w:val="0"/>
              <w:adjustRightInd w:val="0"/>
              <w:spacing w:line="240" w:lineRule="auto"/>
              <w:ind w:firstLine="0"/>
              <w:jc w:val="center"/>
            </w:pPr>
            <w:r w:rsidRPr="009F1580">
              <w:t>32</w:t>
            </w:r>
          </w:p>
        </w:tc>
      </w:tr>
      <w:tr w:rsidR="00F24CC6" w:rsidRPr="009F1580">
        <w:trPr>
          <w:jc w:val="center"/>
        </w:trPr>
        <w:tc>
          <w:tcPr>
            <w:tcW w:w="2160" w:type="dxa"/>
            <w:vAlign w:val="center"/>
          </w:tcPr>
          <w:p w:rsidR="00CB4D36" w:rsidRDefault="00F24CC6" w:rsidP="00CB4D36">
            <w:pPr>
              <w:widowControl w:val="0"/>
              <w:autoSpaceDE w:val="0"/>
              <w:autoSpaceDN w:val="0"/>
              <w:adjustRightInd w:val="0"/>
              <w:spacing w:line="240" w:lineRule="auto"/>
              <w:ind w:firstLine="0"/>
              <w:jc w:val="center"/>
            </w:pPr>
            <w:r w:rsidRPr="009F1580">
              <w:t>Second Chamber</w:t>
            </w:r>
          </w:p>
          <w:p w:rsidR="00F24CC6" w:rsidRPr="009F1580" w:rsidRDefault="00F24CC6" w:rsidP="00CB4D36">
            <w:pPr>
              <w:widowControl w:val="0"/>
              <w:autoSpaceDE w:val="0"/>
              <w:autoSpaceDN w:val="0"/>
              <w:adjustRightInd w:val="0"/>
              <w:spacing w:line="240" w:lineRule="auto"/>
              <w:ind w:firstLine="0"/>
              <w:jc w:val="center"/>
            </w:pPr>
            <w:r w:rsidRPr="009F1580">
              <w:t>Reversal</w:t>
            </w:r>
          </w:p>
        </w:tc>
        <w:tc>
          <w:tcPr>
            <w:tcW w:w="3240" w:type="dxa"/>
            <w:vAlign w:val="center"/>
          </w:tcPr>
          <w:p w:rsidR="00F24CC6" w:rsidRPr="009F1580" w:rsidRDefault="00F24CC6" w:rsidP="00CB4D36">
            <w:pPr>
              <w:widowControl w:val="0"/>
              <w:autoSpaceDE w:val="0"/>
              <w:autoSpaceDN w:val="0"/>
              <w:adjustRightInd w:val="0"/>
              <w:spacing w:line="240" w:lineRule="auto"/>
              <w:ind w:firstLine="0"/>
              <w:jc w:val="center"/>
            </w:pPr>
            <w:r w:rsidRPr="009F1580">
              <w:t>11</w:t>
            </w:r>
          </w:p>
        </w:tc>
      </w:tr>
    </w:tbl>
    <w:p w:rsidR="00F24CC6" w:rsidRDefault="00F24CC6" w:rsidP="00F24CC6">
      <w:pPr>
        <w:widowControl w:val="0"/>
        <w:autoSpaceDE w:val="0"/>
        <w:autoSpaceDN w:val="0"/>
        <w:adjustRightInd w:val="0"/>
        <w:spacing w:line="240" w:lineRule="auto"/>
        <w:jc w:val="center"/>
        <w:rPr>
          <w:b/>
          <w:sz w:val="32"/>
        </w:rPr>
      </w:pPr>
    </w:p>
    <w:p w:rsidR="00B00DE1" w:rsidRDefault="00CB4D36" w:rsidP="00B00DE1">
      <w:pPr>
        <w:widowControl w:val="0"/>
        <w:autoSpaceDE w:val="0"/>
        <w:autoSpaceDN w:val="0"/>
        <w:adjustRightInd w:val="0"/>
        <w:spacing w:line="240" w:lineRule="auto"/>
        <w:jc w:val="center"/>
        <w:rPr>
          <w:b/>
          <w:sz w:val="32"/>
        </w:rPr>
      </w:pPr>
      <w:r>
        <w:rPr>
          <w:b/>
          <w:sz w:val="32"/>
        </w:rPr>
        <w:br w:type="page"/>
      </w:r>
      <w:r w:rsidR="00F24CC6">
        <w:rPr>
          <w:b/>
          <w:sz w:val="32"/>
        </w:rPr>
        <w:t xml:space="preserve">Table 6. </w:t>
      </w:r>
    </w:p>
    <w:p w:rsidR="005E721E" w:rsidRPr="005E721E" w:rsidRDefault="00B00DE1" w:rsidP="005E721E">
      <w:pPr>
        <w:widowControl w:val="0"/>
        <w:autoSpaceDE w:val="0"/>
        <w:autoSpaceDN w:val="0"/>
        <w:adjustRightInd w:val="0"/>
        <w:spacing w:line="240" w:lineRule="auto"/>
        <w:jc w:val="center"/>
        <w:rPr>
          <w:b/>
          <w:sz w:val="32"/>
        </w:rPr>
      </w:pPr>
      <w:r w:rsidRPr="003548B8">
        <w:rPr>
          <w:b/>
          <w:sz w:val="32"/>
        </w:rPr>
        <w:t xml:space="preserve"> Impact of Veto Threat on </w:t>
      </w:r>
      <w:r>
        <w:rPr>
          <w:b/>
          <w:sz w:val="32"/>
        </w:rPr>
        <w:t xml:space="preserve">Conference Committee Provision Selection </w:t>
      </w:r>
    </w:p>
    <w:tbl>
      <w:tblPr>
        <w:tblW w:w="8004" w:type="dxa"/>
        <w:jc w:val="center"/>
        <w:tblLayout w:type="fixed"/>
        <w:tblCellMar>
          <w:left w:w="75" w:type="dxa"/>
          <w:right w:w="75" w:type="dxa"/>
        </w:tblCellMar>
        <w:tblLook w:val="0000"/>
      </w:tblPr>
      <w:tblGrid>
        <w:gridCol w:w="5076"/>
        <w:gridCol w:w="2928"/>
      </w:tblGrid>
      <w:tr w:rsidR="005E721E" w:rsidRPr="00D85DFC">
        <w:trPr>
          <w:jc w:val="center"/>
        </w:trPr>
        <w:tc>
          <w:tcPr>
            <w:tcW w:w="5076" w:type="dxa"/>
            <w:tcBorders>
              <w:top w:val="single" w:sz="6" w:space="0" w:color="auto"/>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single" w:sz="6" w:space="0" w:color="auto"/>
              <w:left w:val="nil"/>
              <w:bottom w:val="nil"/>
              <w:right w:val="nil"/>
            </w:tcBorders>
          </w:tcPr>
          <w:p w:rsidR="005E721E" w:rsidRPr="005E721E" w:rsidRDefault="005E721E" w:rsidP="005E721E">
            <w:pPr>
              <w:widowControl w:val="0"/>
              <w:autoSpaceDE w:val="0"/>
              <w:autoSpaceDN w:val="0"/>
              <w:adjustRightInd w:val="0"/>
              <w:spacing w:line="240" w:lineRule="auto"/>
              <w:ind w:firstLine="0"/>
              <w:rPr>
                <w:rFonts w:cs="Times New Roman"/>
                <w:sz w:val="22"/>
                <w:u w:val="single"/>
              </w:rPr>
            </w:pPr>
            <w:r w:rsidRPr="005E721E">
              <w:rPr>
                <w:rFonts w:cs="Times New Roman"/>
                <w:sz w:val="22"/>
                <w:u w:val="single"/>
              </w:rPr>
              <w:t>DV: Final Provision Amended</w:t>
            </w:r>
          </w:p>
        </w:tc>
      </w:tr>
      <w:tr w:rsidR="005E721E" w:rsidRPr="00D85DFC">
        <w:trPr>
          <w:jc w:val="center"/>
        </w:trPr>
        <w:tc>
          <w:tcPr>
            <w:tcW w:w="5076" w:type="dxa"/>
            <w:tcBorders>
              <w:top w:val="nil"/>
              <w:left w:val="nil"/>
              <w:bottom w:val="single" w:sz="6" w:space="0" w:color="auto"/>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single" w:sz="6" w:space="0" w:color="auto"/>
              <w:right w:val="nil"/>
            </w:tcBorders>
          </w:tcPr>
          <w:p w:rsidR="005E721E" w:rsidRPr="00D85DFC" w:rsidRDefault="005E721E" w:rsidP="005E721E">
            <w:pPr>
              <w:widowControl w:val="0"/>
              <w:autoSpaceDE w:val="0"/>
              <w:autoSpaceDN w:val="0"/>
              <w:adjustRightInd w:val="0"/>
              <w:spacing w:line="240" w:lineRule="auto"/>
              <w:ind w:firstLine="0"/>
              <w:jc w:val="center"/>
              <w:rPr>
                <w:rFonts w:cs="Times New Roman"/>
                <w:sz w:val="22"/>
              </w:rPr>
            </w:pPr>
            <w:r>
              <w:rPr>
                <w:rFonts w:cs="Times New Roman"/>
                <w:sz w:val="22"/>
              </w:rPr>
              <w:t>(1)</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jc w:val="center"/>
              <w:rPr>
                <w:rFonts w:cs="Times New Roman"/>
                <w:sz w:val="22"/>
              </w:rPr>
            </w:pP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Provision Amended in 1</w:t>
            </w:r>
            <w:r w:rsidRPr="00D85DFC">
              <w:rPr>
                <w:rFonts w:cs="Times New Roman"/>
                <w:sz w:val="22"/>
                <w:vertAlign w:val="superscript"/>
              </w:rPr>
              <w:t>st</w:t>
            </w:r>
            <w:r>
              <w:rPr>
                <w:rFonts w:cs="Times New Roman"/>
                <w:sz w:val="22"/>
              </w:rPr>
              <w:t xml:space="preserve"> Chamber</w:t>
            </w: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-2.</w:t>
            </w:r>
            <w:r w:rsidR="00160238">
              <w:rPr>
                <w:rFonts w:cs="Times New Roman"/>
                <w:sz w:val="22"/>
              </w:rPr>
              <w:t>122</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160238" w:rsidP="005E721E">
            <w:pPr>
              <w:widowControl w:val="0"/>
              <w:autoSpaceDE w:val="0"/>
              <w:autoSpaceDN w:val="0"/>
              <w:adjustRightInd w:val="0"/>
              <w:spacing w:line="240" w:lineRule="auto"/>
              <w:ind w:firstLine="0"/>
              <w:jc w:val="center"/>
              <w:rPr>
                <w:rFonts w:cs="Times New Roman"/>
                <w:sz w:val="22"/>
              </w:rPr>
            </w:pPr>
            <w:r>
              <w:rPr>
                <w:rFonts w:cs="Times New Roman"/>
                <w:sz w:val="22"/>
              </w:rPr>
              <w:t>(1.416</w:t>
            </w:r>
            <w:r w:rsidR="005E721E"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Provision Amended in 2</w:t>
            </w:r>
            <w:r w:rsidRPr="00D85DFC">
              <w:rPr>
                <w:rFonts w:cs="Times New Roman"/>
                <w:sz w:val="22"/>
                <w:vertAlign w:val="superscript"/>
              </w:rPr>
              <w:t>nd</w:t>
            </w:r>
            <w:r>
              <w:rPr>
                <w:rFonts w:cs="Times New Roman"/>
                <w:sz w:val="22"/>
              </w:rPr>
              <w:t xml:space="preserve"> Chamber</w:t>
            </w: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0.4</w:t>
            </w:r>
            <w:r w:rsidR="00160238">
              <w:rPr>
                <w:rFonts w:cs="Times New Roman"/>
                <w:sz w:val="22"/>
              </w:rPr>
              <w:t>87</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160238" w:rsidP="005E721E">
            <w:pPr>
              <w:widowControl w:val="0"/>
              <w:autoSpaceDE w:val="0"/>
              <w:autoSpaceDN w:val="0"/>
              <w:adjustRightInd w:val="0"/>
              <w:spacing w:line="240" w:lineRule="auto"/>
              <w:ind w:firstLine="0"/>
              <w:jc w:val="center"/>
              <w:rPr>
                <w:rFonts w:cs="Times New Roman"/>
                <w:sz w:val="22"/>
              </w:rPr>
            </w:pPr>
            <w:r>
              <w:rPr>
                <w:rFonts w:cs="Times New Roman"/>
                <w:sz w:val="22"/>
              </w:rPr>
              <w:t>(0.487</w:t>
            </w:r>
            <w:r w:rsidR="005E721E"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1</w:t>
            </w:r>
            <w:r w:rsidRPr="00D85DFC">
              <w:rPr>
                <w:rFonts w:cs="Times New Roman"/>
                <w:sz w:val="22"/>
                <w:vertAlign w:val="superscript"/>
              </w:rPr>
              <w:t>st</w:t>
            </w:r>
            <w:r>
              <w:rPr>
                <w:rFonts w:cs="Times New Roman"/>
                <w:sz w:val="22"/>
              </w:rPr>
              <w:t xml:space="preserve"> Chamber * 2</w:t>
            </w:r>
            <w:r w:rsidRPr="00D85DFC">
              <w:rPr>
                <w:rFonts w:cs="Times New Roman"/>
                <w:sz w:val="22"/>
                <w:vertAlign w:val="superscript"/>
              </w:rPr>
              <w:t>nd</w:t>
            </w:r>
            <w:r>
              <w:rPr>
                <w:rFonts w:cs="Times New Roman"/>
                <w:sz w:val="22"/>
              </w:rPr>
              <w:t xml:space="preserve"> Chamber</w:t>
            </w:r>
          </w:p>
        </w:tc>
        <w:tc>
          <w:tcPr>
            <w:tcW w:w="2928" w:type="dxa"/>
            <w:tcBorders>
              <w:top w:val="nil"/>
              <w:left w:val="nil"/>
              <w:bottom w:val="nil"/>
              <w:right w:val="nil"/>
            </w:tcBorders>
          </w:tcPr>
          <w:p w:rsidR="005E721E" w:rsidRPr="00D85DFC" w:rsidRDefault="00160238" w:rsidP="00160238">
            <w:pPr>
              <w:widowControl w:val="0"/>
              <w:autoSpaceDE w:val="0"/>
              <w:autoSpaceDN w:val="0"/>
              <w:adjustRightInd w:val="0"/>
              <w:spacing w:line="240" w:lineRule="auto"/>
              <w:ind w:firstLine="0"/>
              <w:jc w:val="center"/>
              <w:rPr>
                <w:rFonts w:cs="Times New Roman"/>
                <w:sz w:val="22"/>
              </w:rPr>
            </w:pPr>
            <w:r>
              <w:rPr>
                <w:rFonts w:cs="Times New Roman"/>
                <w:sz w:val="22"/>
              </w:rPr>
              <w:t>3</w:t>
            </w:r>
            <w:r w:rsidR="005E721E" w:rsidRPr="00D85DFC">
              <w:rPr>
                <w:rFonts w:cs="Times New Roman"/>
                <w:sz w:val="22"/>
              </w:rPr>
              <w:t>.</w:t>
            </w:r>
            <w:r>
              <w:rPr>
                <w:rFonts w:cs="Times New Roman"/>
                <w:sz w:val="22"/>
              </w:rPr>
              <w:t>990</w:t>
            </w:r>
            <w:r w:rsidR="005E721E"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(1.52</w:t>
            </w:r>
            <w:r w:rsidR="00160238">
              <w:rPr>
                <w:rFonts w:cs="Times New Roman"/>
                <w:sz w:val="22"/>
              </w:rPr>
              <w:t>1</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Veto Threat</w:t>
            </w:r>
          </w:p>
        </w:tc>
        <w:tc>
          <w:tcPr>
            <w:tcW w:w="2928" w:type="dxa"/>
            <w:tcBorders>
              <w:top w:val="nil"/>
              <w:left w:val="nil"/>
              <w:bottom w:val="nil"/>
              <w:right w:val="nil"/>
            </w:tcBorders>
          </w:tcPr>
          <w:p w:rsidR="005E721E" w:rsidRPr="00D85DFC" w:rsidRDefault="00160238" w:rsidP="00160238">
            <w:pPr>
              <w:widowControl w:val="0"/>
              <w:autoSpaceDE w:val="0"/>
              <w:autoSpaceDN w:val="0"/>
              <w:adjustRightInd w:val="0"/>
              <w:spacing w:line="240" w:lineRule="auto"/>
              <w:ind w:firstLine="0"/>
              <w:jc w:val="center"/>
              <w:rPr>
                <w:rFonts w:cs="Times New Roman"/>
                <w:sz w:val="22"/>
              </w:rPr>
            </w:pPr>
            <w:r>
              <w:rPr>
                <w:rFonts w:cs="Times New Roman"/>
                <w:sz w:val="22"/>
              </w:rPr>
              <w:t>-0</w:t>
            </w:r>
            <w:r w:rsidR="005E721E" w:rsidRPr="00D85DFC">
              <w:rPr>
                <w:rFonts w:cs="Times New Roman"/>
                <w:sz w:val="22"/>
              </w:rPr>
              <w:t>.</w:t>
            </w:r>
            <w:r>
              <w:rPr>
                <w:rFonts w:cs="Times New Roman"/>
                <w:sz w:val="22"/>
              </w:rPr>
              <w:t>167</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(0.3</w:t>
            </w:r>
            <w:r w:rsidR="00160238">
              <w:rPr>
                <w:rFonts w:cs="Times New Roman"/>
                <w:sz w:val="22"/>
              </w:rPr>
              <w:t>67</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Amended in 2</w:t>
            </w:r>
            <w:r w:rsidRPr="00D85DFC">
              <w:rPr>
                <w:rFonts w:cs="Times New Roman"/>
                <w:sz w:val="22"/>
                <w:vertAlign w:val="superscript"/>
              </w:rPr>
              <w:t>nd</w:t>
            </w:r>
            <w:r>
              <w:rPr>
                <w:rFonts w:cs="Times New Roman"/>
                <w:sz w:val="22"/>
              </w:rPr>
              <w:t xml:space="preserve"> * Veto Threat</w:t>
            </w:r>
          </w:p>
        </w:tc>
        <w:tc>
          <w:tcPr>
            <w:tcW w:w="2928" w:type="dxa"/>
            <w:tcBorders>
              <w:top w:val="nil"/>
              <w:left w:val="nil"/>
              <w:bottom w:val="nil"/>
              <w:right w:val="nil"/>
            </w:tcBorders>
          </w:tcPr>
          <w:p w:rsidR="005E721E" w:rsidRPr="00D85DFC" w:rsidRDefault="00160238" w:rsidP="00160238">
            <w:pPr>
              <w:widowControl w:val="0"/>
              <w:autoSpaceDE w:val="0"/>
              <w:autoSpaceDN w:val="0"/>
              <w:adjustRightInd w:val="0"/>
              <w:spacing w:line="240" w:lineRule="auto"/>
              <w:ind w:firstLine="0"/>
              <w:jc w:val="center"/>
              <w:rPr>
                <w:rFonts w:cs="Times New Roman"/>
                <w:sz w:val="22"/>
              </w:rPr>
            </w:pPr>
            <w:r>
              <w:rPr>
                <w:rFonts w:cs="Times New Roman"/>
                <w:sz w:val="22"/>
              </w:rPr>
              <w:t>3</w:t>
            </w:r>
            <w:r w:rsidR="005E721E" w:rsidRPr="00D85DFC">
              <w:rPr>
                <w:rFonts w:cs="Times New Roman"/>
                <w:sz w:val="22"/>
              </w:rPr>
              <w:t>.</w:t>
            </w:r>
            <w:r>
              <w:rPr>
                <w:rFonts w:cs="Times New Roman"/>
                <w:sz w:val="22"/>
              </w:rPr>
              <w:t>035***</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(0.5</w:t>
            </w:r>
            <w:r w:rsidR="00160238">
              <w:rPr>
                <w:rFonts w:cs="Times New Roman"/>
                <w:sz w:val="22"/>
              </w:rPr>
              <w:t>27</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Amended in 1</w:t>
            </w:r>
            <w:r w:rsidRPr="00D85DFC">
              <w:rPr>
                <w:rFonts w:cs="Times New Roman"/>
                <w:sz w:val="22"/>
                <w:vertAlign w:val="superscript"/>
              </w:rPr>
              <w:t>st</w:t>
            </w:r>
            <w:r>
              <w:rPr>
                <w:rFonts w:cs="Times New Roman"/>
                <w:sz w:val="22"/>
              </w:rPr>
              <w:t xml:space="preserve"> * Veto Threat</w:t>
            </w:r>
          </w:p>
        </w:tc>
        <w:tc>
          <w:tcPr>
            <w:tcW w:w="2928" w:type="dxa"/>
            <w:tcBorders>
              <w:top w:val="nil"/>
              <w:left w:val="nil"/>
              <w:bottom w:val="nil"/>
              <w:right w:val="nil"/>
            </w:tcBorders>
          </w:tcPr>
          <w:p w:rsidR="005E721E" w:rsidRPr="00D85DFC" w:rsidRDefault="00160238" w:rsidP="00160238">
            <w:pPr>
              <w:widowControl w:val="0"/>
              <w:autoSpaceDE w:val="0"/>
              <w:autoSpaceDN w:val="0"/>
              <w:adjustRightInd w:val="0"/>
              <w:spacing w:line="240" w:lineRule="auto"/>
              <w:ind w:firstLine="0"/>
              <w:jc w:val="center"/>
              <w:rPr>
                <w:rFonts w:cs="Times New Roman"/>
                <w:sz w:val="22"/>
              </w:rPr>
            </w:pPr>
            <w:r>
              <w:rPr>
                <w:rFonts w:cs="Times New Roman"/>
                <w:sz w:val="22"/>
              </w:rPr>
              <w:t>4</w:t>
            </w:r>
            <w:r w:rsidR="005E721E" w:rsidRPr="00D85DFC">
              <w:rPr>
                <w:rFonts w:cs="Times New Roman"/>
                <w:sz w:val="22"/>
              </w:rPr>
              <w:t>.</w:t>
            </w:r>
            <w:r>
              <w:rPr>
                <w:rFonts w:cs="Times New Roman"/>
                <w:sz w:val="22"/>
              </w:rPr>
              <w:t>343*</w:t>
            </w:r>
            <w:r w:rsidR="005E721E"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160238">
            <w:pPr>
              <w:widowControl w:val="0"/>
              <w:autoSpaceDE w:val="0"/>
              <w:autoSpaceDN w:val="0"/>
              <w:adjustRightInd w:val="0"/>
              <w:spacing w:line="240" w:lineRule="auto"/>
              <w:ind w:firstLine="0"/>
              <w:jc w:val="center"/>
              <w:rPr>
                <w:rFonts w:cs="Times New Roman"/>
                <w:sz w:val="22"/>
              </w:rPr>
            </w:pPr>
            <w:r w:rsidRPr="00D85DFC">
              <w:rPr>
                <w:rFonts w:cs="Times New Roman"/>
                <w:sz w:val="22"/>
              </w:rPr>
              <w:t>(1.4</w:t>
            </w:r>
            <w:r w:rsidR="00160238">
              <w:rPr>
                <w:rFonts w:cs="Times New Roman"/>
                <w:sz w:val="22"/>
              </w:rPr>
              <w:t>50</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Amended in 1</w:t>
            </w:r>
            <w:r w:rsidRPr="00D85DFC">
              <w:rPr>
                <w:rFonts w:cs="Times New Roman"/>
                <w:sz w:val="22"/>
                <w:vertAlign w:val="superscript"/>
              </w:rPr>
              <w:t>st</w:t>
            </w:r>
            <w:r>
              <w:rPr>
                <w:rFonts w:cs="Times New Roman"/>
                <w:sz w:val="22"/>
              </w:rPr>
              <w:t xml:space="preserve"> * Amended in 2</w:t>
            </w:r>
            <w:r w:rsidRPr="00D85DFC">
              <w:rPr>
                <w:rFonts w:cs="Times New Roman"/>
                <w:sz w:val="22"/>
                <w:vertAlign w:val="superscript"/>
              </w:rPr>
              <w:t>nd</w:t>
            </w:r>
            <w:r>
              <w:rPr>
                <w:rFonts w:cs="Times New Roman"/>
                <w:sz w:val="22"/>
              </w:rPr>
              <w:t xml:space="preserve"> *Veto Threat</w:t>
            </w: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w:t>
            </w:r>
            <w:r w:rsidR="00160238">
              <w:rPr>
                <w:rFonts w:cs="Times New Roman"/>
                <w:sz w:val="22"/>
              </w:rPr>
              <w:t>4</w:t>
            </w:r>
            <w:r w:rsidRPr="00D85DFC">
              <w:rPr>
                <w:rFonts w:cs="Times New Roman"/>
                <w:sz w:val="22"/>
              </w:rPr>
              <w:t>.</w:t>
            </w:r>
            <w:r w:rsidR="005B4E37">
              <w:rPr>
                <w:rFonts w:cs="Times New Roman"/>
                <w:sz w:val="22"/>
              </w:rPr>
              <w:t>897</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(1.5</w:t>
            </w:r>
            <w:r w:rsidR="005B4E37">
              <w:rPr>
                <w:rFonts w:cs="Times New Roman"/>
                <w:sz w:val="22"/>
              </w:rPr>
              <w:t>78</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Senate Bill</w:t>
            </w: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298</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229</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spacing w:before="2" w:after="2" w:line="240" w:lineRule="auto"/>
              <w:ind w:firstLine="0"/>
              <w:rPr>
                <w:sz w:val="22"/>
              </w:rPr>
            </w:pPr>
            <w:r w:rsidRPr="00D85DFC">
              <w:rPr>
                <w:sz w:val="22"/>
              </w:rPr>
              <w:t>Opposition House</w:t>
            </w:r>
          </w:p>
        </w:tc>
        <w:tc>
          <w:tcPr>
            <w:tcW w:w="2928" w:type="dxa"/>
            <w:tcBorders>
              <w:top w:val="nil"/>
              <w:left w:val="nil"/>
              <w:bottom w:val="nil"/>
              <w:right w:val="nil"/>
            </w:tcBorders>
          </w:tcPr>
          <w:p w:rsidR="005E721E" w:rsidRPr="00D85DFC" w:rsidRDefault="005B4E37" w:rsidP="005B4E37">
            <w:pPr>
              <w:widowControl w:val="0"/>
              <w:autoSpaceDE w:val="0"/>
              <w:autoSpaceDN w:val="0"/>
              <w:adjustRightInd w:val="0"/>
              <w:spacing w:line="240" w:lineRule="auto"/>
              <w:ind w:firstLine="0"/>
              <w:jc w:val="center"/>
              <w:rPr>
                <w:rFonts w:cs="Times New Roman"/>
                <w:sz w:val="22"/>
              </w:rPr>
            </w:pPr>
            <w:r>
              <w:rPr>
                <w:rFonts w:cs="Times New Roman"/>
                <w:sz w:val="22"/>
              </w:rPr>
              <w:t>-0.489</w:t>
            </w:r>
          </w:p>
        </w:tc>
      </w:tr>
      <w:tr w:rsidR="005E721E" w:rsidRPr="00D85DFC">
        <w:trPr>
          <w:jc w:val="center"/>
        </w:trPr>
        <w:tc>
          <w:tcPr>
            <w:tcW w:w="5076" w:type="dxa"/>
            <w:tcBorders>
              <w:top w:val="nil"/>
              <w:left w:val="nil"/>
              <w:bottom w:val="nil"/>
              <w:right w:val="nil"/>
            </w:tcBorders>
          </w:tcPr>
          <w:p w:rsidR="005E721E" w:rsidRPr="00D85DFC" w:rsidRDefault="005E721E" w:rsidP="005E721E">
            <w:pPr>
              <w:spacing w:before="2" w:after="2" w:line="240" w:lineRule="auto"/>
              <w:rPr>
                <w:sz w:val="22"/>
              </w:rPr>
            </w:pP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518</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spacing w:before="2" w:after="2" w:line="240" w:lineRule="auto"/>
              <w:ind w:firstLine="0"/>
              <w:rPr>
                <w:sz w:val="22"/>
              </w:rPr>
            </w:pPr>
            <w:r w:rsidRPr="00D85DFC">
              <w:rPr>
                <w:sz w:val="22"/>
              </w:rPr>
              <w:t>Opposition Senate</w:t>
            </w: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w:t>
            </w:r>
            <w:r w:rsidR="005B4E37">
              <w:rPr>
                <w:rFonts w:cs="Times New Roman"/>
                <w:sz w:val="22"/>
              </w:rPr>
              <w:t>1</w:t>
            </w:r>
            <w:r w:rsidRPr="00D85DFC">
              <w:rPr>
                <w:rFonts w:cs="Times New Roman"/>
                <w:sz w:val="22"/>
              </w:rPr>
              <w:t>.</w:t>
            </w:r>
            <w:r w:rsidR="005B4E37">
              <w:rPr>
                <w:rFonts w:cs="Times New Roman"/>
                <w:sz w:val="22"/>
              </w:rPr>
              <w:t>172***</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(0.3</w:t>
            </w:r>
            <w:r w:rsidR="005B4E37">
              <w:rPr>
                <w:rFonts w:cs="Times New Roman"/>
                <w:sz w:val="22"/>
              </w:rPr>
              <w:t>93</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sidRPr="00D85DFC">
              <w:rPr>
                <w:rFonts w:cs="Times New Roman"/>
                <w:sz w:val="22"/>
              </w:rPr>
              <w:t>Constant</w:t>
            </w: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744</w:t>
            </w:r>
            <w:r w:rsidRPr="00D85DFC">
              <w:rPr>
                <w:rFonts w:cs="Times New Roman"/>
                <w:sz w:val="22"/>
              </w:rPr>
              <w:t>*</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569</w:t>
            </w:r>
            <w:r w:rsidRPr="00D85DFC">
              <w:rPr>
                <w:rFonts w:cs="Times New Roman"/>
                <w:sz w:val="22"/>
              </w:rPr>
              <w:t>)</w:t>
            </w:r>
          </w:p>
        </w:tc>
      </w:tr>
      <w:tr w:rsidR="005E721E" w:rsidRPr="00D85DFC">
        <w:trPr>
          <w:jc w:val="center"/>
        </w:trPr>
        <w:tc>
          <w:tcPr>
            <w:tcW w:w="5076" w:type="dxa"/>
            <w:tcBorders>
              <w:top w:val="nil"/>
              <w:left w:val="nil"/>
              <w:bottom w:val="single" w:sz="4" w:space="0" w:color="auto"/>
              <w:right w:val="nil"/>
            </w:tcBorders>
          </w:tcPr>
          <w:p w:rsidR="005E721E" w:rsidRPr="00D85DFC" w:rsidRDefault="005E721E" w:rsidP="005E721E">
            <w:pPr>
              <w:widowControl w:val="0"/>
              <w:autoSpaceDE w:val="0"/>
              <w:autoSpaceDN w:val="0"/>
              <w:adjustRightInd w:val="0"/>
              <w:spacing w:line="240" w:lineRule="auto"/>
              <w:rPr>
                <w:rFonts w:cs="Times New Roman"/>
                <w:sz w:val="22"/>
              </w:rPr>
            </w:pPr>
          </w:p>
        </w:tc>
        <w:tc>
          <w:tcPr>
            <w:tcW w:w="2928" w:type="dxa"/>
            <w:tcBorders>
              <w:top w:val="nil"/>
              <w:left w:val="nil"/>
              <w:bottom w:val="single" w:sz="4" w:space="0" w:color="auto"/>
              <w:right w:val="nil"/>
            </w:tcBorders>
          </w:tcPr>
          <w:p w:rsidR="005E721E" w:rsidRPr="00D85DFC" w:rsidRDefault="005E721E" w:rsidP="005E721E">
            <w:pPr>
              <w:widowControl w:val="0"/>
              <w:autoSpaceDE w:val="0"/>
              <w:autoSpaceDN w:val="0"/>
              <w:adjustRightInd w:val="0"/>
              <w:spacing w:line="240" w:lineRule="auto"/>
              <w:jc w:val="center"/>
              <w:rPr>
                <w:rFonts w:cs="Times New Roman"/>
                <w:sz w:val="22"/>
              </w:rPr>
            </w:pPr>
          </w:p>
        </w:tc>
      </w:tr>
      <w:tr w:rsidR="005E721E" w:rsidRPr="00D85DFC">
        <w:trPr>
          <w:jc w:val="center"/>
        </w:trPr>
        <w:tc>
          <w:tcPr>
            <w:tcW w:w="5076" w:type="dxa"/>
            <w:tcBorders>
              <w:top w:val="single" w:sz="4" w:space="0" w:color="auto"/>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sidRPr="00D85DFC">
              <w:rPr>
                <w:rFonts w:cs="Times New Roman"/>
                <w:sz w:val="22"/>
              </w:rPr>
              <w:t>Observations</w:t>
            </w:r>
          </w:p>
        </w:tc>
        <w:tc>
          <w:tcPr>
            <w:tcW w:w="2928" w:type="dxa"/>
            <w:tcBorders>
              <w:top w:val="single" w:sz="4" w:space="0" w:color="auto"/>
              <w:left w:val="nil"/>
              <w:bottom w:val="nil"/>
              <w:right w:val="nil"/>
            </w:tcBorders>
          </w:tcPr>
          <w:p w:rsidR="005E721E" w:rsidRPr="00D85DFC" w:rsidRDefault="005E721E" w:rsidP="005E721E">
            <w:pPr>
              <w:widowControl w:val="0"/>
              <w:autoSpaceDE w:val="0"/>
              <w:autoSpaceDN w:val="0"/>
              <w:adjustRightInd w:val="0"/>
              <w:spacing w:line="240" w:lineRule="auto"/>
              <w:ind w:firstLine="0"/>
              <w:jc w:val="center"/>
              <w:rPr>
                <w:rFonts w:cs="Times New Roman"/>
                <w:sz w:val="22"/>
              </w:rPr>
            </w:pPr>
            <w:r w:rsidRPr="00D85DFC">
              <w:rPr>
                <w:rFonts w:cs="Times New Roman"/>
                <w:sz w:val="22"/>
              </w:rPr>
              <w:t>1,160</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sidRPr="00D85DFC">
              <w:rPr>
                <w:rFonts w:cs="Times New Roman"/>
                <w:sz w:val="22"/>
              </w:rPr>
              <w:t>Administration FE</w:t>
            </w:r>
          </w:p>
        </w:tc>
        <w:tc>
          <w:tcPr>
            <w:tcW w:w="2928"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jc w:val="center"/>
              <w:rPr>
                <w:rFonts w:cs="Times New Roman"/>
                <w:sz w:val="22"/>
              </w:rPr>
            </w:pPr>
            <w:r w:rsidRPr="00D85DFC">
              <w:rPr>
                <w:rFonts w:cs="Times New Roman"/>
                <w:sz w:val="22"/>
              </w:rPr>
              <w:t>Yes</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Pr>
                <w:rFonts w:cs="Times New Roman"/>
                <w:sz w:val="22"/>
              </w:rPr>
              <w:t>Sample</w:t>
            </w:r>
          </w:p>
        </w:tc>
        <w:tc>
          <w:tcPr>
            <w:tcW w:w="2928"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jc w:val="center"/>
              <w:rPr>
                <w:rFonts w:cs="Times New Roman"/>
                <w:sz w:val="22"/>
              </w:rPr>
            </w:pPr>
            <w:r>
              <w:rPr>
                <w:rFonts w:cs="Times New Roman"/>
                <w:sz w:val="22"/>
              </w:rPr>
              <w:t>Genetic Match</w:t>
            </w:r>
          </w:p>
        </w:tc>
      </w:tr>
      <w:tr w:rsidR="005E721E" w:rsidRPr="00D85DFC">
        <w:trPr>
          <w:jc w:val="center"/>
        </w:trPr>
        <w:tc>
          <w:tcPr>
            <w:tcW w:w="5076" w:type="dxa"/>
            <w:tcBorders>
              <w:top w:val="nil"/>
              <w:left w:val="nil"/>
              <w:bottom w:val="nil"/>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sidRPr="00D85DFC">
              <w:rPr>
                <w:rFonts w:cs="Times New Roman"/>
                <w:sz w:val="22"/>
              </w:rPr>
              <w:t>Pseudo R-squared</w:t>
            </w:r>
          </w:p>
        </w:tc>
        <w:tc>
          <w:tcPr>
            <w:tcW w:w="2928" w:type="dxa"/>
            <w:tcBorders>
              <w:top w:val="nil"/>
              <w:left w:val="nil"/>
              <w:bottom w:val="nil"/>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0.</w:t>
            </w:r>
            <w:r w:rsidR="005B4E37">
              <w:rPr>
                <w:rFonts w:cs="Times New Roman"/>
                <w:sz w:val="22"/>
              </w:rPr>
              <w:t>384</w:t>
            </w:r>
          </w:p>
        </w:tc>
      </w:tr>
      <w:tr w:rsidR="005E721E" w:rsidRPr="00D85DFC">
        <w:tblPrEx>
          <w:tblBorders>
            <w:bottom w:val="single" w:sz="6" w:space="0" w:color="auto"/>
          </w:tblBorders>
        </w:tblPrEx>
        <w:trPr>
          <w:jc w:val="center"/>
        </w:trPr>
        <w:tc>
          <w:tcPr>
            <w:tcW w:w="5076" w:type="dxa"/>
            <w:tcBorders>
              <w:top w:val="nil"/>
              <w:left w:val="nil"/>
              <w:bottom w:val="single" w:sz="6" w:space="0" w:color="auto"/>
              <w:right w:val="nil"/>
            </w:tcBorders>
          </w:tcPr>
          <w:p w:rsidR="005E721E" w:rsidRPr="00D85DFC" w:rsidRDefault="005E721E" w:rsidP="005E721E">
            <w:pPr>
              <w:widowControl w:val="0"/>
              <w:autoSpaceDE w:val="0"/>
              <w:autoSpaceDN w:val="0"/>
              <w:adjustRightInd w:val="0"/>
              <w:spacing w:line="240" w:lineRule="auto"/>
              <w:ind w:firstLine="0"/>
              <w:rPr>
                <w:rFonts w:cs="Times New Roman"/>
                <w:sz w:val="22"/>
              </w:rPr>
            </w:pPr>
            <w:r w:rsidRPr="00D85DFC">
              <w:rPr>
                <w:rFonts w:cs="Times New Roman"/>
                <w:sz w:val="22"/>
              </w:rPr>
              <w:t>Log Likelihood</w:t>
            </w:r>
          </w:p>
        </w:tc>
        <w:tc>
          <w:tcPr>
            <w:tcW w:w="2928" w:type="dxa"/>
            <w:tcBorders>
              <w:top w:val="nil"/>
              <w:left w:val="nil"/>
              <w:bottom w:val="single" w:sz="6" w:space="0" w:color="auto"/>
              <w:right w:val="nil"/>
            </w:tcBorders>
          </w:tcPr>
          <w:p w:rsidR="005E721E" w:rsidRPr="00D85DFC" w:rsidRDefault="005E721E" w:rsidP="005B4E37">
            <w:pPr>
              <w:widowControl w:val="0"/>
              <w:autoSpaceDE w:val="0"/>
              <w:autoSpaceDN w:val="0"/>
              <w:adjustRightInd w:val="0"/>
              <w:spacing w:line="240" w:lineRule="auto"/>
              <w:ind w:firstLine="0"/>
              <w:jc w:val="center"/>
              <w:rPr>
                <w:rFonts w:cs="Times New Roman"/>
                <w:sz w:val="22"/>
              </w:rPr>
            </w:pPr>
            <w:r w:rsidRPr="00D85DFC">
              <w:rPr>
                <w:rFonts w:cs="Times New Roman"/>
                <w:sz w:val="22"/>
              </w:rPr>
              <w:t>-</w:t>
            </w:r>
            <w:r w:rsidR="005B4E37">
              <w:rPr>
                <w:rFonts w:cs="Times New Roman"/>
                <w:sz w:val="22"/>
              </w:rPr>
              <w:t>494</w:t>
            </w:r>
            <w:r w:rsidRPr="00D85DFC">
              <w:rPr>
                <w:rFonts w:cs="Times New Roman"/>
                <w:sz w:val="22"/>
              </w:rPr>
              <w:t>.</w:t>
            </w:r>
            <w:r w:rsidR="005B4E37">
              <w:rPr>
                <w:rFonts w:cs="Times New Roman"/>
                <w:sz w:val="22"/>
              </w:rPr>
              <w:t>3</w:t>
            </w:r>
          </w:p>
        </w:tc>
      </w:tr>
    </w:tbl>
    <w:p w:rsidR="005E721E" w:rsidRPr="003548B8" w:rsidRDefault="005E721E" w:rsidP="00406646">
      <w:pPr>
        <w:spacing w:line="240" w:lineRule="auto"/>
        <w:jc w:val="center"/>
        <w:rPr>
          <w:sz w:val="22"/>
        </w:rPr>
      </w:pPr>
      <w:r w:rsidRPr="003548B8">
        <w:rPr>
          <w:sz w:val="22"/>
        </w:rPr>
        <w:t>Clustered standard errors in parentheses (Clustered on Bill)</w:t>
      </w:r>
    </w:p>
    <w:p w:rsidR="005E721E" w:rsidRDefault="005E721E" w:rsidP="00406646">
      <w:pPr>
        <w:widowControl w:val="0"/>
        <w:autoSpaceDE w:val="0"/>
        <w:autoSpaceDN w:val="0"/>
        <w:adjustRightInd w:val="0"/>
        <w:spacing w:line="240" w:lineRule="auto"/>
        <w:jc w:val="center"/>
        <w:rPr>
          <w:rFonts w:cs="Times New Roman"/>
        </w:rPr>
      </w:pPr>
      <w:r>
        <w:rPr>
          <w:rFonts w:cs="Times New Roman"/>
        </w:rPr>
        <w:t xml:space="preserve">*** </w:t>
      </w:r>
      <w:proofErr w:type="gramStart"/>
      <w:r>
        <w:rPr>
          <w:rFonts w:cs="Times New Roman"/>
        </w:rPr>
        <w:t>p</w:t>
      </w:r>
      <w:proofErr w:type="gramEnd"/>
      <w:r>
        <w:rPr>
          <w:rFonts w:cs="Times New Roman"/>
        </w:rPr>
        <w:t>&lt;0.01, ** p&lt;0.05, * p&lt;0.1</w:t>
      </w:r>
    </w:p>
    <w:p w:rsidR="00B00DE1" w:rsidRDefault="00B00DE1" w:rsidP="00B00DE1">
      <w:pPr>
        <w:widowControl w:val="0"/>
        <w:autoSpaceDE w:val="0"/>
        <w:autoSpaceDN w:val="0"/>
        <w:adjustRightInd w:val="0"/>
        <w:spacing w:line="240" w:lineRule="auto"/>
        <w:jc w:val="center"/>
        <w:rPr>
          <w:rFonts w:cs="Times New Roman"/>
        </w:rPr>
      </w:pPr>
    </w:p>
    <w:p w:rsidR="00B00DE1" w:rsidRDefault="00B00DE1" w:rsidP="00B00DE1">
      <w:pPr>
        <w:spacing w:line="240" w:lineRule="auto"/>
        <w:ind w:firstLine="0"/>
        <w:jc w:val="center"/>
        <w:rPr>
          <w:b/>
          <w:sz w:val="32"/>
        </w:rPr>
      </w:pPr>
      <w:r>
        <w:rPr>
          <w:rFonts w:cs="Times New Roman"/>
          <w:color w:val="FF0000"/>
        </w:rPr>
        <w:br w:type="page"/>
      </w:r>
      <w:r w:rsidRPr="00961ED9">
        <w:rPr>
          <w:b/>
          <w:sz w:val="32"/>
        </w:rPr>
        <w:t xml:space="preserve">Figure </w:t>
      </w:r>
      <w:r w:rsidR="00546247">
        <w:rPr>
          <w:b/>
          <w:sz w:val="32"/>
        </w:rPr>
        <w:t>6</w:t>
      </w:r>
      <w:r>
        <w:rPr>
          <w:b/>
          <w:sz w:val="32"/>
        </w:rPr>
        <w:t>.</w:t>
      </w:r>
    </w:p>
    <w:p w:rsidR="00B00DE1" w:rsidRDefault="00682E80" w:rsidP="00B00DE1">
      <w:pPr>
        <w:spacing w:line="240" w:lineRule="auto"/>
        <w:ind w:firstLine="0"/>
        <w:jc w:val="center"/>
        <w:rPr>
          <w:b/>
          <w:bCs/>
          <w:sz w:val="32"/>
          <w:szCs w:val="20"/>
        </w:rPr>
      </w:pPr>
      <w:r>
        <w:rPr>
          <w:b/>
          <w:sz w:val="32"/>
        </w:rPr>
        <w:t>Impact of</w:t>
      </w:r>
      <w:r w:rsidR="00EF07D5">
        <w:rPr>
          <w:b/>
          <w:sz w:val="32"/>
        </w:rPr>
        <w:t xml:space="preserve"> Veto Threat and Legislative Sequence</w:t>
      </w:r>
      <w:r>
        <w:rPr>
          <w:b/>
          <w:sz w:val="32"/>
        </w:rPr>
        <w:t xml:space="preserve"> on </w:t>
      </w:r>
      <w:r w:rsidRPr="00961ED9">
        <w:rPr>
          <w:b/>
          <w:sz w:val="32"/>
        </w:rPr>
        <w:t xml:space="preserve">Conference </w:t>
      </w:r>
      <w:r>
        <w:rPr>
          <w:b/>
          <w:sz w:val="32"/>
        </w:rPr>
        <w:t>Action</w:t>
      </w:r>
      <w:r w:rsidR="00B00DE1" w:rsidRPr="00961ED9">
        <w:rPr>
          <w:b/>
          <w:bCs/>
          <w:sz w:val="32"/>
          <w:szCs w:val="20"/>
        </w:rPr>
        <w:t>*</w:t>
      </w:r>
    </w:p>
    <w:p w:rsidR="00682E80" w:rsidRPr="00961ED9" w:rsidRDefault="00682E80" w:rsidP="00B00DE1">
      <w:pPr>
        <w:spacing w:line="240" w:lineRule="auto"/>
        <w:ind w:firstLine="0"/>
        <w:jc w:val="center"/>
        <w:rPr>
          <w:b/>
          <w:sz w:val="32"/>
          <w:szCs w:val="32"/>
        </w:rPr>
      </w:pPr>
    </w:p>
    <w:p w:rsidR="00C30FD9" w:rsidRPr="00C30FD9" w:rsidRDefault="00521510" w:rsidP="00B00DE1">
      <w:pPr>
        <w:spacing w:line="240" w:lineRule="auto"/>
        <w:jc w:val="center"/>
        <w:rPr>
          <w:color w:val="FF0000"/>
        </w:rPr>
      </w:pPr>
      <w:r>
        <w:rPr>
          <w:noProof/>
          <w:color w:val="FF0000"/>
        </w:rPr>
        <w:drawing>
          <wp:inline distT="0" distB="0" distL="0" distR="0">
            <wp:extent cx="5943600" cy="4320305"/>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943600" cy="4320305"/>
                    </a:xfrm>
                    <a:prstGeom prst="rect">
                      <a:avLst/>
                    </a:prstGeom>
                    <a:noFill/>
                    <a:ln w="9525">
                      <a:noFill/>
                      <a:miter lim="800000"/>
                      <a:headEnd/>
                      <a:tailEnd/>
                    </a:ln>
                  </pic:spPr>
                </pic:pic>
              </a:graphicData>
            </a:graphic>
          </wp:inline>
        </w:drawing>
      </w:r>
    </w:p>
    <w:p w:rsidR="00682E80" w:rsidRPr="001B4FF6" w:rsidRDefault="00682E80" w:rsidP="00406646">
      <w:pPr>
        <w:spacing w:line="240" w:lineRule="auto"/>
        <w:jc w:val="center"/>
      </w:pPr>
      <w:r>
        <w:t xml:space="preserve">*Probabilities based on estimates in Table </w:t>
      </w:r>
      <w:r w:rsidR="00202284">
        <w:t>6</w:t>
      </w:r>
      <w:r>
        <w:t>.</w:t>
      </w:r>
    </w:p>
    <w:p w:rsidR="00406646" w:rsidRPr="00406646" w:rsidRDefault="00B00DE1" w:rsidP="00406646">
      <w:pPr>
        <w:spacing w:line="240" w:lineRule="auto"/>
        <w:ind w:firstLine="0"/>
        <w:jc w:val="center"/>
        <w:rPr>
          <w:rFonts w:cs="Times New Roman"/>
          <w:b/>
          <w:sz w:val="32"/>
        </w:rPr>
      </w:pPr>
      <w:r>
        <w:rPr>
          <w:rFonts w:cs="Times New Roman"/>
          <w:color w:val="FF0000"/>
        </w:rPr>
        <w:br w:type="page"/>
      </w:r>
      <w:r w:rsidR="00406646" w:rsidRPr="00406646">
        <w:rPr>
          <w:rFonts w:cs="Times New Roman"/>
          <w:b/>
          <w:sz w:val="32"/>
        </w:rPr>
        <w:t>Figure 7.</w:t>
      </w:r>
    </w:p>
    <w:p w:rsidR="00B00DE1" w:rsidRPr="00406646" w:rsidRDefault="00406646" w:rsidP="00406646">
      <w:pPr>
        <w:spacing w:line="240" w:lineRule="auto"/>
        <w:ind w:firstLine="0"/>
        <w:jc w:val="center"/>
        <w:rPr>
          <w:rFonts w:cs="Times New Roman"/>
          <w:sz w:val="32"/>
        </w:rPr>
      </w:pPr>
      <w:r w:rsidRPr="00406646">
        <w:rPr>
          <w:rFonts w:cs="Times New Roman"/>
          <w:b/>
          <w:sz w:val="32"/>
        </w:rPr>
        <w:t>Presidents’ Veto Action by Share of Accommodated Provisions in Bill</w:t>
      </w:r>
    </w:p>
    <w:p w:rsidR="00D65B5A" w:rsidRPr="007563E4" w:rsidRDefault="00406646" w:rsidP="00D65B5A">
      <w:pPr>
        <w:spacing w:line="240" w:lineRule="auto"/>
        <w:jc w:val="center"/>
        <w:rPr>
          <w:rStyle w:val="Heading2Char"/>
          <w:rFonts w:eastAsiaTheme="minorEastAsia"/>
        </w:rPr>
      </w:pPr>
      <w:r>
        <w:rPr>
          <w:rFonts w:cs="Times New Roman"/>
          <w:noProof/>
          <w:color w:val="FF0000"/>
        </w:rPr>
        <w:drawing>
          <wp:inline distT="0" distB="0" distL="0" distR="0">
            <wp:extent cx="5943600" cy="4320305"/>
            <wp:effectExtent l="2540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943600" cy="4320305"/>
                    </a:xfrm>
                    <a:prstGeom prst="rect">
                      <a:avLst/>
                    </a:prstGeom>
                    <a:noFill/>
                    <a:ln w="9525">
                      <a:noFill/>
                      <a:miter lim="800000"/>
                      <a:headEnd/>
                      <a:tailEnd/>
                    </a:ln>
                  </pic:spPr>
                </pic:pic>
              </a:graphicData>
            </a:graphic>
          </wp:inline>
        </w:drawing>
      </w:r>
      <w:r w:rsidR="00D65B5A">
        <w:rPr>
          <w:rFonts w:cs="Times New Roman"/>
          <w:color w:val="FF0000"/>
        </w:rPr>
        <w:br w:type="page"/>
      </w:r>
      <w:r w:rsidR="00D65B5A" w:rsidRPr="008B3BB3">
        <w:rPr>
          <w:rStyle w:val="Heading2Char"/>
          <w:rFonts w:eastAsiaTheme="majorEastAsia"/>
        </w:rPr>
        <w:t>References</w:t>
      </w:r>
    </w:p>
    <w:p w:rsidR="00441CB4" w:rsidRDefault="00441CB4" w:rsidP="00441CB4">
      <w:pPr>
        <w:pStyle w:val="referencessinglespaceinternal"/>
        <w:rPr>
          <w:rFonts w:eastAsiaTheme="minorHAnsi"/>
        </w:rPr>
      </w:pPr>
    </w:p>
    <w:p w:rsidR="000908A1" w:rsidRDefault="000908A1" w:rsidP="00007B2C">
      <w:pPr>
        <w:pStyle w:val="referencessinglespaceinternal"/>
        <w:spacing w:line="480" w:lineRule="auto"/>
      </w:pPr>
      <w:r w:rsidRPr="00273154">
        <w:t xml:space="preserve">Adler, E. S., </w:t>
      </w:r>
      <w:r w:rsidR="00FE27AC">
        <w:t>and</w:t>
      </w:r>
      <w:r w:rsidRPr="00273154">
        <w:t xml:space="preserve"> Wilkerson, J. (2006). </w:t>
      </w:r>
      <w:proofErr w:type="gramStart"/>
      <w:r w:rsidRPr="00273154">
        <w:rPr>
          <w:i/>
        </w:rPr>
        <w:t>Congressional Bills Project</w:t>
      </w:r>
      <w:r w:rsidRPr="00273154">
        <w:t>.</w:t>
      </w:r>
      <w:proofErr w:type="gramEnd"/>
      <w:r w:rsidRPr="00273154">
        <w:t> </w:t>
      </w:r>
      <w:proofErr w:type="gramStart"/>
      <w:r w:rsidRPr="00273154">
        <w:t>NSF, 880066, 00880061.</w:t>
      </w:r>
      <w:proofErr w:type="gramEnd"/>
    </w:p>
    <w:p w:rsidR="00441CB4" w:rsidRPr="00007B2C" w:rsidRDefault="00441CB4" w:rsidP="00007B2C">
      <w:pPr>
        <w:pStyle w:val="referencessinglespaceinternal"/>
        <w:spacing w:line="480" w:lineRule="auto"/>
        <w:rPr>
          <w:rFonts w:eastAsiaTheme="minorHAnsi"/>
        </w:rPr>
      </w:pPr>
      <w:proofErr w:type="gramStart"/>
      <w:r w:rsidRPr="00441CB4">
        <w:rPr>
          <w:rFonts w:eastAsiaTheme="minorHAnsi"/>
        </w:rPr>
        <w:t>Beckmann, M. N. 2010.</w:t>
      </w:r>
      <w:proofErr w:type="gramEnd"/>
      <w:r w:rsidRPr="00441CB4">
        <w:rPr>
          <w:rFonts w:eastAsiaTheme="minorHAnsi"/>
        </w:rPr>
        <w:t> </w:t>
      </w:r>
      <w:r w:rsidRPr="00DE1535">
        <w:rPr>
          <w:rFonts w:eastAsiaTheme="minorHAnsi"/>
          <w:i/>
        </w:rPr>
        <w:t>Pushing the agenda: Presidential leadership in US lawmaking, 1953–2004</w:t>
      </w:r>
      <w:r w:rsidRPr="00441CB4">
        <w:rPr>
          <w:rFonts w:eastAsiaTheme="minorHAnsi"/>
        </w:rPr>
        <w:t xml:space="preserve">. </w:t>
      </w:r>
      <w:proofErr w:type="gramStart"/>
      <w:r w:rsidRPr="00441CB4">
        <w:rPr>
          <w:rFonts w:eastAsiaTheme="minorHAnsi"/>
        </w:rPr>
        <w:t>Cambridge University Press.</w:t>
      </w:r>
      <w:proofErr w:type="gramEnd"/>
    </w:p>
    <w:p w:rsidR="00D65B5A" w:rsidRDefault="00D65B5A" w:rsidP="00007B2C">
      <w:pPr>
        <w:pStyle w:val="referencessinglespaceinternal"/>
        <w:spacing w:line="480" w:lineRule="auto"/>
        <w:rPr>
          <w:noProof/>
        </w:rPr>
      </w:pPr>
      <w:r w:rsidRPr="00E04B34">
        <w:rPr>
          <w:noProof/>
        </w:rPr>
        <w:t xml:space="preserve">Cameron, Charles. 2000. </w:t>
      </w:r>
      <w:r w:rsidRPr="00E04B34">
        <w:rPr>
          <w:i/>
          <w:iCs/>
          <w:noProof/>
        </w:rPr>
        <w:t>Veto Bargaining: Presidents and the Politics of Negative Power</w:t>
      </w:r>
      <w:r w:rsidRPr="00E04B34">
        <w:rPr>
          <w:noProof/>
        </w:rPr>
        <w:t>. New York: Cambridge University Press.</w:t>
      </w:r>
    </w:p>
    <w:p w:rsidR="00D65B5A" w:rsidRDefault="00D65B5A" w:rsidP="00007B2C">
      <w:pPr>
        <w:pStyle w:val="referencessinglespaceinternal"/>
        <w:spacing w:line="480" w:lineRule="auto"/>
        <w:rPr>
          <w:noProof/>
        </w:rPr>
      </w:pPr>
      <w:r>
        <w:rPr>
          <w:noProof/>
        </w:rPr>
        <w:t xml:space="preserve">Cameron, Charles, and Nolan McCarty. 2004. “Models of Vetoes and Veto Bargaining.” </w:t>
      </w:r>
      <w:r>
        <w:rPr>
          <w:i/>
          <w:noProof/>
        </w:rPr>
        <w:t>Annual Review of Political Science</w:t>
      </w:r>
      <w:r>
        <w:rPr>
          <w:noProof/>
        </w:rPr>
        <w:t xml:space="preserve"> 7: 409-435.</w:t>
      </w:r>
    </w:p>
    <w:p w:rsidR="00D65B5A" w:rsidRDefault="00D65B5A" w:rsidP="00007B2C">
      <w:pPr>
        <w:pStyle w:val="referencessinglespaceinternal"/>
        <w:spacing w:line="480" w:lineRule="auto"/>
        <w:rPr>
          <w:noProof/>
        </w:rPr>
      </w:pPr>
      <w:r w:rsidRPr="00E04B34">
        <w:rPr>
          <w:noProof/>
        </w:rPr>
        <w:t xml:space="preserve">Cox, Gary W., and Mathew D. McCubbins. </w:t>
      </w:r>
      <w:r>
        <w:rPr>
          <w:noProof/>
        </w:rPr>
        <w:t>1993</w:t>
      </w:r>
      <w:r w:rsidRPr="00E04B34">
        <w:rPr>
          <w:noProof/>
        </w:rPr>
        <w:t xml:space="preserve">. </w:t>
      </w:r>
      <w:r w:rsidRPr="00E04B34">
        <w:rPr>
          <w:i/>
          <w:iCs/>
          <w:noProof/>
        </w:rPr>
        <w:t>Legislative Leviathan: Party Government in the House</w:t>
      </w:r>
      <w:r w:rsidRPr="00E04B34">
        <w:rPr>
          <w:noProof/>
        </w:rPr>
        <w:t xml:space="preserve">. </w:t>
      </w:r>
      <w:r>
        <w:rPr>
          <w:noProof/>
        </w:rPr>
        <w:t>Berkeley: University of California</w:t>
      </w:r>
      <w:r w:rsidRPr="00E04B34">
        <w:rPr>
          <w:noProof/>
        </w:rPr>
        <w:t xml:space="preserve"> Press.</w:t>
      </w:r>
    </w:p>
    <w:p w:rsidR="00D65B5A" w:rsidRDefault="00D65B5A" w:rsidP="00007B2C">
      <w:pPr>
        <w:pStyle w:val="referencessinglespaceinternal"/>
        <w:spacing w:line="480" w:lineRule="auto"/>
      </w:pPr>
      <w:r>
        <w:rPr>
          <w:noProof/>
        </w:rPr>
        <w:t xml:space="preserve">_________. 2005. </w:t>
      </w:r>
      <w:r>
        <w:rPr>
          <w:i/>
          <w:noProof/>
        </w:rPr>
        <w:t>Setting the Agenda: Responsible Party Government in the U.S. House of Representatives.</w:t>
      </w:r>
      <w:r>
        <w:t xml:space="preserve"> New York: Cambridge University Press.</w:t>
      </w:r>
    </w:p>
    <w:p w:rsidR="00D65B5A" w:rsidRDefault="00D65B5A" w:rsidP="00007B2C">
      <w:pPr>
        <w:pStyle w:val="referencessinglespaceinternal"/>
        <w:spacing w:line="480" w:lineRule="auto"/>
        <w:rPr>
          <w:noProof/>
        </w:rPr>
      </w:pPr>
      <w:r w:rsidRPr="00E04B34">
        <w:rPr>
          <w:noProof/>
        </w:rPr>
        <w:t xml:space="preserve">Crawford, Vincent P, and Joel Sobel. 1982. “Strategic Information Transmission.” </w:t>
      </w:r>
      <w:r w:rsidRPr="00E04B34">
        <w:rPr>
          <w:i/>
          <w:iCs/>
          <w:noProof/>
        </w:rPr>
        <w:t>Econometrica</w:t>
      </w:r>
      <w:r w:rsidRPr="00E04B34">
        <w:rPr>
          <w:noProof/>
        </w:rPr>
        <w:t xml:space="preserve"> 50(6): 1431–1451.</w:t>
      </w:r>
    </w:p>
    <w:p w:rsidR="00D65B5A" w:rsidRDefault="00D65B5A" w:rsidP="00007B2C">
      <w:pPr>
        <w:pStyle w:val="referencessinglespaceinternal"/>
        <w:spacing w:line="480" w:lineRule="auto"/>
        <w:rPr>
          <w:noProof/>
        </w:rPr>
      </w:pPr>
      <w:r w:rsidRPr="000D3252">
        <w:rPr>
          <w:noProof/>
        </w:rPr>
        <w:t xml:space="preserve">Diamond, A., </w:t>
      </w:r>
      <w:r w:rsidR="00FE27AC">
        <w:rPr>
          <w:noProof/>
        </w:rPr>
        <w:t>and</w:t>
      </w:r>
      <w:r w:rsidRPr="000D3252">
        <w:rPr>
          <w:noProof/>
        </w:rPr>
        <w:t xml:space="preserve"> Sekhon, J. S. (2013). </w:t>
      </w:r>
      <w:r>
        <w:rPr>
          <w:noProof/>
        </w:rPr>
        <w:t>“</w:t>
      </w:r>
      <w:r w:rsidRPr="000D3252">
        <w:rPr>
          <w:noProof/>
        </w:rPr>
        <w:t>Genetic matching for estimating causal effects: A general multivariate matching method for achieving balance in observational studies.</w:t>
      </w:r>
      <w:r>
        <w:rPr>
          <w:noProof/>
        </w:rPr>
        <w:t>”</w:t>
      </w:r>
      <w:r w:rsidRPr="000D3252">
        <w:rPr>
          <w:noProof/>
        </w:rPr>
        <w:t> </w:t>
      </w:r>
      <w:r w:rsidRPr="000D3252">
        <w:rPr>
          <w:i/>
          <w:noProof/>
        </w:rPr>
        <w:t>Review of Economics and Statistics</w:t>
      </w:r>
      <w:r w:rsidRPr="000D3252">
        <w:rPr>
          <w:noProof/>
        </w:rPr>
        <w:t>, </w:t>
      </w:r>
      <w:r w:rsidRPr="000D3252">
        <w:rPr>
          <w:i/>
          <w:noProof/>
        </w:rPr>
        <w:t>95</w:t>
      </w:r>
      <w:r w:rsidRPr="000D3252">
        <w:rPr>
          <w:noProof/>
        </w:rPr>
        <w:t>(3), 932-945.</w:t>
      </w:r>
    </w:p>
    <w:p w:rsidR="00D65B5A" w:rsidRDefault="00D65B5A" w:rsidP="00007B2C">
      <w:pPr>
        <w:pStyle w:val="referencessinglespaceinternal"/>
        <w:spacing w:line="480" w:lineRule="auto"/>
        <w:rPr>
          <w:noProof/>
        </w:rPr>
      </w:pPr>
      <w:r w:rsidRPr="00E04B34">
        <w:rPr>
          <w:noProof/>
        </w:rPr>
        <w:t xml:space="preserve">Fett, Patrick J. 1992. “Truth in Advertising: The Revelation of Presidential Legislative Priorities.” </w:t>
      </w:r>
      <w:r w:rsidRPr="00E04B34">
        <w:rPr>
          <w:i/>
          <w:iCs/>
          <w:noProof/>
        </w:rPr>
        <w:t>Western Political Quarterly</w:t>
      </w:r>
      <w:r w:rsidRPr="00E04B34">
        <w:rPr>
          <w:noProof/>
        </w:rPr>
        <w:t xml:space="preserve"> 45(2): 895–920.</w:t>
      </w:r>
    </w:p>
    <w:p w:rsidR="00D65B5A" w:rsidRDefault="00D65B5A" w:rsidP="00007B2C">
      <w:pPr>
        <w:pStyle w:val="referencessinglespaceinternal"/>
        <w:spacing w:line="480" w:lineRule="auto"/>
        <w:rPr>
          <w:noProof/>
        </w:rPr>
      </w:pPr>
      <w:r>
        <w:rPr>
          <w:noProof/>
        </w:rPr>
        <w:t>_______</w:t>
      </w:r>
      <w:r w:rsidRPr="00E04B34">
        <w:rPr>
          <w:noProof/>
        </w:rPr>
        <w:t>. 1994. “Presidential Legislat</w:t>
      </w:r>
      <w:r>
        <w:rPr>
          <w:noProof/>
        </w:rPr>
        <w:t xml:space="preserve">ive Priorities and Legislators’ </w:t>
      </w:r>
      <w:r w:rsidRPr="00E04B34">
        <w:rPr>
          <w:noProof/>
        </w:rPr>
        <w:t xml:space="preserve">Voting Decisions: An Exploratory Analysis.” </w:t>
      </w:r>
      <w:r w:rsidRPr="00E04B34">
        <w:rPr>
          <w:i/>
          <w:iCs/>
          <w:noProof/>
        </w:rPr>
        <w:t>Journal of Politics</w:t>
      </w:r>
      <w:r w:rsidRPr="00E04B34">
        <w:rPr>
          <w:noProof/>
        </w:rPr>
        <w:t xml:space="preserve"> 56(2): 502–512.</w:t>
      </w:r>
    </w:p>
    <w:p w:rsidR="00D65B5A" w:rsidRDefault="00D65B5A" w:rsidP="00007B2C">
      <w:pPr>
        <w:pStyle w:val="referencessinglespaceinternal"/>
        <w:spacing w:line="480" w:lineRule="auto"/>
      </w:pPr>
      <w:proofErr w:type="spellStart"/>
      <w:r>
        <w:t>Groseclose</w:t>
      </w:r>
      <w:proofErr w:type="spellEnd"/>
      <w:r>
        <w:t xml:space="preserve">, Tim and Nolan McCarty. 2001. “The Politics of Blame: Bargaining Before an Audience.” </w:t>
      </w:r>
      <w:r w:rsidRPr="00E04B34">
        <w:rPr>
          <w:i/>
          <w:iCs/>
          <w:noProof/>
        </w:rPr>
        <w:t>American Journal of Political Science</w:t>
      </w:r>
      <w:r>
        <w:rPr>
          <w:noProof/>
        </w:rPr>
        <w:t xml:space="preserve"> 45(1</w:t>
      </w:r>
      <w:r w:rsidRPr="00E04B34">
        <w:rPr>
          <w:noProof/>
        </w:rPr>
        <w:t xml:space="preserve">): </w:t>
      </w:r>
      <w:r>
        <w:rPr>
          <w:noProof/>
        </w:rPr>
        <w:t>100-119.</w:t>
      </w:r>
    </w:p>
    <w:p w:rsidR="004077E4" w:rsidRDefault="00D65B5A" w:rsidP="00007B2C">
      <w:pPr>
        <w:pStyle w:val="referencessinglespaceinternal"/>
        <w:spacing w:line="480" w:lineRule="auto"/>
      </w:pPr>
      <w:proofErr w:type="spellStart"/>
      <w:proofErr w:type="gramStart"/>
      <w:r>
        <w:t>Hassell</w:t>
      </w:r>
      <w:proofErr w:type="spellEnd"/>
      <w:r>
        <w:t xml:space="preserve">, Hans J.G. and Samuel </w:t>
      </w:r>
      <w:proofErr w:type="spellStart"/>
      <w:r>
        <w:t>Kernell</w:t>
      </w:r>
      <w:proofErr w:type="spellEnd"/>
      <w:r>
        <w:t>.</w:t>
      </w:r>
      <w:proofErr w:type="gramEnd"/>
      <w:r>
        <w:t xml:space="preserve"> 2015. “Veto Threats and Legislative Riders.” </w:t>
      </w:r>
      <w:r w:rsidRPr="00E04B34">
        <w:rPr>
          <w:i/>
          <w:iCs/>
          <w:noProof/>
        </w:rPr>
        <w:t>American Journal of Political Science</w:t>
      </w:r>
      <w:r>
        <w:rPr>
          <w:i/>
          <w:iCs/>
          <w:noProof/>
        </w:rPr>
        <w:t xml:space="preserve">. </w:t>
      </w:r>
      <w:proofErr w:type="gramStart"/>
      <w:r>
        <w:t>Early online publication.</w:t>
      </w:r>
      <w:proofErr w:type="gramEnd"/>
    </w:p>
    <w:p w:rsidR="00D65B5A" w:rsidRDefault="004077E4" w:rsidP="00007B2C">
      <w:pPr>
        <w:pStyle w:val="referencessinglespaceinternal"/>
        <w:spacing w:line="480" w:lineRule="auto"/>
      </w:pPr>
      <w:r w:rsidRPr="004077E4">
        <w:rPr>
          <w:rFonts w:ascii="Times" w:eastAsiaTheme="minorHAnsi" w:hAnsi="Times"/>
          <w:color w:val="000000"/>
          <w:szCs w:val="27"/>
        </w:rPr>
        <w:t xml:space="preserve">Daniel Ho; </w:t>
      </w:r>
      <w:proofErr w:type="spellStart"/>
      <w:r w:rsidRPr="004077E4">
        <w:rPr>
          <w:rFonts w:ascii="Times" w:eastAsiaTheme="minorHAnsi" w:hAnsi="Times"/>
          <w:color w:val="000000"/>
          <w:szCs w:val="27"/>
        </w:rPr>
        <w:t>Kosuke</w:t>
      </w:r>
      <w:proofErr w:type="spellEnd"/>
      <w:r w:rsidRPr="004077E4">
        <w:rPr>
          <w:rFonts w:ascii="Times" w:eastAsiaTheme="minorHAnsi" w:hAnsi="Times"/>
          <w:color w:val="000000"/>
          <w:szCs w:val="27"/>
        </w:rPr>
        <w:t xml:space="preserve"> Imai; Gary King;</w:t>
      </w:r>
      <w:r>
        <w:rPr>
          <w:rFonts w:ascii="Times" w:eastAsiaTheme="minorHAnsi" w:hAnsi="Times"/>
          <w:color w:val="000000"/>
          <w:szCs w:val="27"/>
        </w:rPr>
        <w:t xml:space="preserve"> and Elizabeth Stuart (2007), “</w:t>
      </w:r>
      <w:r w:rsidRPr="004077E4">
        <w:rPr>
          <w:rFonts w:ascii="Times" w:eastAsiaTheme="minorHAnsi" w:hAnsi="Times"/>
          <w:color w:val="000000"/>
          <w:szCs w:val="27"/>
        </w:rPr>
        <w:t>Matching as Nonparametric Preprocessing for Reducing Model Dependence in Parametric Causal Inference,</w:t>
      </w:r>
      <w:r>
        <w:rPr>
          <w:rFonts w:ascii="Times" w:eastAsiaTheme="minorHAnsi" w:hAnsi="Times"/>
          <w:color w:val="000000"/>
          <w:szCs w:val="27"/>
        </w:rPr>
        <w:t xml:space="preserve">” </w:t>
      </w:r>
      <w:r w:rsidRPr="004077E4">
        <w:rPr>
          <w:rFonts w:ascii="Times" w:eastAsiaTheme="minorHAnsi" w:hAnsi="Times"/>
          <w:i/>
          <w:color w:val="000000"/>
          <w:szCs w:val="27"/>
        </w:rPr>
        <w:t>Political Analysis</w:t>
      </w:r>
      <w:r w:rsidRPr="004077E4">
        <w:rPr>
          <w:rFonts w:ascii="Times" w:eastAsiaTheme="minorHAnsi" w:hAnsi="Times"/>
          <w:color w:val="000000"/>
        </w:rPr>
        <w:t> </w:t>
      </w:r>
      <w:r w:rsidRPr="004077E4">
        <w:rPr>
          <w:rFonts w:ascii="Times" w:eastAsiaTheme="minorHAnsi" w:hAnsi="Times"/>
          <w:color w:val="000000"/>
          <w:szCs w:val="27"/>
        </w:rPr>
        <w:t>15(3): 199-236.</w:t>
      </w:r>
    </w:p>
    <w:p w:rsidR="00D65B5A" w:rsidRDefault="00D65B5A" w:rsidP="00007B2C">
      <w:pPr>
        <w:pStyle w:val="referencessinglespaceinternal"/>
        <w:spacing w:line="480" w:lineRule="auto"/>
        <w:rPr>
          <w:noProof/>
        </w:rPr>
      </w:pPr>
      <w:r>
        <w:rPr>
          <w:noProof/>
        </w:rPr>
        <w:t xml:space="preserve">Ingberman, Daniel, and Dennis Yao. 1991. “Presidential Commitment and the Veto,” </w:t>
      </w:r>
      <w:r w:rsidRPr="00E04B34">
        <w:rPr>
          <w:i/>
          <w:iCs/>
          <w:noProof/>
        </w:rPr>
        <w:t>American Journal of Political Science</w:t>
      </w:r>
      <w:r w:rsidRPr="00E04B34">
        <w:rPr>
          <w:noProof/>
        </w:rPr>
        <w:t xml:space="preserve"> </w:t>
      </w:r>
      <w:r>
        <w:rPr>
          <w:noProof/>
        </w:rPr>
        <w:t>35</w:t>
      </w:r>
      <w:r w:rsidRPr="00E04B34">
        <w:rPr>
          <w:noProof/>
        </w:rPr>
        <w:t>(2): 3</w:t>
      </w:r>
      <w:r>
        <w:rPr>
          <w:noProof/>
        </w:rPr>
        <w:t>5</w:t>
      </w:r>
      <w:r w:rsidRPr="00E04B34">
        <w:rPr>
          <w:noProof/>
        </w:rPr>
        <w:t>7–3</w:t>
      </w:r>
      <w:r>
        <w:rPr>
          <w:noProof/>
        </w:rPr>
        <w:t>89</w:t>
      </w:r>
      <w:r w:rsidRPr="00E04B34">
        <w:rPr>
          <w:noProof/>
        </w:rPr>
        <w:t>.</w:t>
      </w:r>
    </w:p>
    <w:p w:rsidR="00D65B5A" w:rsidRDefault="00B25149" w:rsidP="00007B2C">
      <w:pPr>
        <w:pStyle w:val="referencessinglespaceinternal"/>
        <w:spacing w:line="480" w:lineRule="auto"/>
      </w:pPr>
      <w:r w:rsidRPr="00E04B34">
        <w:rPr>
          <w:noProof/>
        </w:rPr>
        <w:t xml:space="preserve">Jacobson, Gary C. </w:t>
      </w:r>
      <w:r w:rsidR="00D65B5A">
        <w:rPr>
          <w:noProof/>
        </w:rPr>
        <w:t xml:space="preserve"> 2015. “</w:t>
      </w:r>
      <w:r w:rsidR="00D65B5A" w:rsidRPr="00B047F3">
        <w:rPr>
          <w:noProof/>
        </w:rPr>
        <w:t>How Presidents Shape Their Party's</w:t>
      </w:r>
      <w:r w:rsidR="00007B2C">
        <w:rPr>
          <w:noProof/>
        </w:rPr>
        <w:t xml:space="preserve"> Reputation and Prospects: New </w:t>
      </w:r>
      <w:r w:rsidR="00D65B5A" w:rsidRPr="00B047F3">
        <w:rPr>
          <w:noProof/>
        </w:rPr>
        <w:t>Evidence</w:t>
      </w:r>
      <w:r w:rsidR="00D65B5A">
        <w:rPr>
          <w:noProof/>
        </w:rPr>
        <w:t xml:space="preserve">,” </w:t>
      </w:r>
      <w:r w:rsidR="00D65B5A">
        <w:rPr>
          <w:i/>
          <w:noProof/>
        </w:rPr>
        <w:t xml:space="preserve">Presidential Studies Quarterly </w:t>
      </w:r>
      <w:r w:rsidR="00D65B5A">
        <w:t>45 (1): 1-28.</w:t>
      </w:r>
    </w:p>
    <w:p w:rsidR="00D65B5A" w:rsidRDefault="00D65B5A" w:rsidP="00007B2C">
      <w:pPr>
        <w:pStyle w:val="referencessinglespaceinternal"/>
        <w:spacing w:line="480" w:lineRule="auto"/>
        <w:rPr>
          <w:noProof/>
        </w:rPr>
      </w:pPr>
      <w:r w:rsidRPr="00E04B34">
        <w:rPr>
          <w:noProof/>
        </w:rPr>
        <w:t xml:space="preserve">Kernell, Samuel. 2005. </w:t>
      </w:r>
      <w:r w:rsidRPr="00211F9A">
        <w:rPr>
          <w:i/>
          <w:noProof/>
        </w:rPr>
        <w:t>Presidential Veto Threats in Statements of Administration Policy: 1985-2004.</w:t>
      </w:r>
      <w:r>
        <w:rPr>
          <w:i/>
          <w:noProof/>
        </w:rPr>
        <w:t xml:space="preserve"> </w:t>
      </w:r>
      <w:r w:rsidRPr="00E04B34">
        <w:rPr>
          <w:noProof/>
        </w:rPr>
        <w:t>Washington, D.C.: CQ Press.</w:t>
      </w:r>
    </w:p>
    <w:p w:rsidR="00D65B5A" w:rsidRDefault="00D65B5A" w:rsidP="00007B2C">
      <w:pPr>
        <w:pStyle w:val="referencessinglespaceinternal"/>
        <w:spacing w:line="480" w:lineRule="auto"/>
        <w:rPr>
          <w:noProof/>
        </w:rPr>
      </w:pPr>
      <w:r>
        <w:rPr>
          <w:noProof/>
        </w:rPr>
        <w:t>_______</w:t>
      </w:r>
      <w:r w:rsidRPr="00E04B34">
        <w:rPr>
          <w:noProof/>
        </w:rPr>
        <w:t xml:space="preserve">. 2006. </w:t>
      </w:r>
      <w:r w:rsidRPr="00E04B34">
        <w:rPr>
          <w:i/>
          <w:iCs/>
          <w:noProof/>
        </w:rPr>
        <w:t>Going Public: New Strategies of Presidential Leadership</w:t>
      </w:r>
      <w:r w:rsidRPr="00E04B34">
        <w:rPr>
          <w:noProof/>
        </w:rPr>
        <w:t>. 4th ed. Washington, D.C.: CQ Press.</w:t>
      </w:r>
    </w:p>
    <w:p w:rsidR="00D65B5A" w:rsidRDefault="00D65B5A" w:rsidP="00007B2C">
      <w:pPr>
        <w:pStyle w:val="referencessinglespaceinternal"/>
        <w:spacing w:line="480" w:lineRule="auto"/>
      </w:pPr>
      <w:r>
        <w:rPr>
          <w:noProof/>
        </w:rPr>
        <w:t xml:space="preserve">Korte, Gregory. 2015. “Is that a threat? White House veto signals often nuanced.” </w:t>
      </w:r>
      <w:r>
        <w:rPr>
          <w:i/>
          <w:noProof/>
        </w:rPr>
        <w:t>USA Today</w:t>
      </w:r>
      <w:r>
        <w:t>. January 7.</w:t>
      </w:r>
    </w:p>
    <w:p w:rsidR="00BA58AE" w:rsidRDefault="00D65B5A" w:rsidP="00007B2C">
      <w:pPr>
        <w:pStyle w:val="referencessinglespaceinternal"/>
        <w:spacing w:line="480" w:lineRule="auto"/>
        <w:rPr>
          <w:noProof/>
        </w:rPr>
      </w:pPr>
      <w:r w:rsidRPr="00E04B34">
        <w:rPr>
          <w:noProof/>
        </w:rPr>
        <w:t xml:space="preserve">Krehbiel, Keith. 1998. </w:t>
      </w:r>
      <w:r w:rsidRPr="00E04B34">
        <w:rPr>
          <w:i/>
          <w:iCs/>
          <w:noProof/>
        </w:rPr>
        <w:t>Pivotal Politics: A Theory of U.S. Lawmaking</w:t>
      </w:r>
      <w:r w:rsidRPr="00E04B34">
        <w:rPr>
          <w:noProof/>
        </w:rPr>
        <w:t>. Chicago: University of Chicago Press.</w:t>
      </w:r>
    </w:p>
    <w:p w:rsidR="00D65B5A" w:rsidRDefault="00D65B5A" w:rsidP="00007B2C">
      <w:pPr>
        <w:pStyle w:val="referencessinglespaceinternal"/>
        <w:spacing w:line="480" w:lineRule="auto"/>
        <w:rPr>
          <w:noProof/>
        </w:rPr>
      </w:pPr>
      <w:r w:rsidRPr="00E04B34">
        <w:rPr>
          <w:noProof/>
        </w:rPr>
        <w:t xml:space="preserve">Lee, Frances E. 2008. “Dividers, Not Uniters: Presidential Leadership and Senate Partisanship, 1981-2004.” </w:t>
      </w:r>
      <w:r w:rsidRPr="00E04B34">
        <w:rPr>
          <w:i/>
          <w:iCs/>
          <w:noProof/>
        </w:rPr>
        <w:t>The Journal of Politics</w:t>
      </w:r>
      <w:r w:rsidRPr="00E04B34">
        <w:rPr>
          <w:noProof/>
        </w:rPr>
        <w:t xml:space="preserve"> 70(04): 914.</w:t>
      </w:r>
    </w:p>
    <w:p w:rsidR="00D65B5A" w:rsidRDefault="00D65B5A" w:rsidP="00007B2C">
      <w:pPr>
        <w:pStyle w:val="referencessinglespaceinternal"/>
        <w:spacing w:line="480" w:lineRule="auto"/>
      </w:pPr>
      <w:r>
        <w:rPr>
          <w:noProof/>
        </w:rPr>
        <w:t xml:space="preserve">Longley, Lawrence D. and Walter J. Oleszek. 1988. </w:t>
      </w:r>
      <w:r>
        <w:rPr>
          <w:i/>
          <w:noProof/>
        </w:rPr>
        <w:t xml:space="preserve">Bicameral Politics. </w:t>
      </w:r>
      <w:r>
        <w:t xml:space="preserve">New Haven: </w:t>
      </w:r>
      <w:r w:rsidR="00007B2C">
        <w:t>Yale University Press.</w:t>
      </w:r>
    </w:p>
    <w:p w:rsidR="00D65B5A" w:rsidRDefault="00D65B5A" w:rsidP="00007B2C">
      <w:pPr>
        <w:pStyle w:val="referencessinglespaceinternal"/>
        <w:spacing w:line="480" w:lineRule="auto"/>
      </w:pPr>
      <w:r>
        <w:rPr>
          <w:noProof/>
        </w:rPr>
        <w:t xml:space="preserve">Martin, Andrew D. 2001. “Conressional Decision Making and the Separation of Powers,” </w:t>
      </w:r>
      <w:r>
        <w:rPr>
          <w:i/>
          <w:noProof/>
        </w:rPr>
        <w:t>American Political Science Review 95(2)</w:t>
      </w:r>
      <w:r>
        <w:t>: 361-378.</w:t>
      </w:r>
    </w:p>
    <w:p w:rsidR="00D65B5A" w:rsidRDefault="00D65B5A" w:rsidP="00007B2C">
      <w:pPr>
        <w:pStyle w:val="referencessinglespaceinternal"/>
        <w:spacing w:line="480" w:lineRule="auto"/>
        <w:rPr>
          <w:noProof/>
        </w:rPr>
      </w:pPr>
      <w:r w:rsidRPr="00E04B34">
        <w:rPr>
          <w:noProof/>
        </w:rPr>
        <w:t xml:space="preserve">Matthews, Steven A. 1989. “Veto Threats: Rhetoric in a Bargaining Game.” </w:t>
      </w:r>
      <w:r w:rsidRPr="00E04B34">
        <w:rPr>
          <w:i/>
          <w:iCs/>
          <w:noProof/>
        </w:rPr>
        <w:t>Quarterly Journal of Economics</w:t>
      </w:r>
      <w:r w:rsidRPr="00E04B34">
        <w:rPr>
          <w:noProof/>
        </w:rPr>
        <w:t xml:space="preserve"> 104(2): 347–369.</w:t>
      </w:r>
    </w:p>
    <w:p w:rsidR="00D65B5A" w:rsidRDefault="00D65B5A" w:rsidP="00007B2C">
      <w:pPr>
        <w:pStyle w:val="referencessinglespaceinternal"/>
        <w:spacing w:line="480" w:lineRule="auto"/>
      </w:pPr>
      <w:r>
        <w:rPr>
          <w:noProof/>
        </w:rPr>
        <w:t xml:space="preserve">McCarty, Nolan. 1997. “Presidential Reputation and the Veto.” </w:t>
      </w:r>
      <w:r>
        <w:rPr>
          <w:i/>
          <w:noProof/>
        </w:rPr>
        <w:t xml:space="preserve">Economics and Politics </w:t>
      </w:r>
      <w:r>
        <w:t>9: 1-27.</w:t>
      </w:r>
    </w:p>
    <w:p w:rsidR="00D65B5A" w:rsidRPr="00D43D05" w:rsidRDefault="00D65B5A" w:rsidP="00007B2C">
      <w:pPr>
        <w:pStyle w:val="referencessinglespaceinternal"/>
        <w:spacing w:line="480" w:lineRule="auto"/>
      </w:pPr>
      <w:r w:rsidRPr="00D43D05">
        <w:t xml:space="preserve">Monroe, N. W., </w:t>
      </w:r>
      <w:r w:rsidR="00FE27AC">
        <w:t>and</w:t>
      </w:r>
      <w:r w:rsidRPr="00D43D05">
        <w:t xml:space="preserve"> Robinson, G. (2008). </w:t>
      </w:r>
      <w:r>
        <w:t>“</w:t>
      </w:r>
      <w:r w:rsidRPr="00D43D05">
        <w:t xml:space="preserve">Do </w:t>
      </w:r>
      <w:r w:rsidR="00BA608E">
        <w:t>R</w:t>
      </w:r>
      <w:r w:rsidRPr="00D43D05">
        <w:t xml:space="preserve">estrictive </w:t>
      </w:r>
      <w:r w:rsidR="00BA608E">
        <w:t>R</w:t>
      </w:r>
      <w:r w:rsidRPr="00D43D05">
        <w:t xml:space="preserve">ules </w:t>
      </w:r>
      <w:r w:rsidR="00BA608E">
        <w:t>P</w:t>
      </w:r>
      <w:r w:rsidRPr="00D43D05">
        <w:t xml:space="preserve">roduce </w:t>
      </w:r>
      <w:proofErr w:type="spellStart"/>
      <w:r w:rsidR="00BA608E">
        <w:t>Nonmedian</w:t>
      </w:r>
      <w:proofErr w:type="spellEnd"/>
      <w:r w:rsidR="00BA608E">
        <w:t xml:space="preserve"> O</w:t>
      </w:r>
      <w:r w:rsidRPr="00D43D05">
        <w:t xml:space="preserve">utcomes? A </w:t>
      </w:r>
      <w:r w:rsidR="00BA608E">
        <w:t>T</w:t>
      </w:r>
      <w:r w:rsidRPr="00D43D05">
        <w:t xml:space="preserve">heory with </w:t>
      </w:r>
      <w:r w:rsidR="00BA608E">
        <w:t>E</w:t>
      </w:r>
      <w:r w:rsidRPr="00D43D05">
        <w:t>vidence from the 101st-108th Congresses.</w:t>
      </w:r>
      <w:r>
        <w:t>”</w:t>
      </w:r>
      <w:r w:rsidRPr="00D43D05">
        <w:t> </w:t>
      </w:r>
      <w:proofErr w:type="gramStart"/>
      <w:r w:rsidRPr="00D43D05">
        <w:rPr>
          <w:i/>
        </w:rPr>
        <w:t>Journal of Politics</w:t>
      </w:r>
      <w:r w:rsidRPr="00D43D05">
        <w:t> 70(1), 217-231.</w:t>
      </w:r>
      <w:proofErr w:type="gramEnd"/>
    </w:p>
    <w:p w:rsidR="00D65B5A" w:rsidRDefault="00D65B5A" w:rsidP="00007B2C">
      <w:pPr>
        <w:pStyle w:val="referencessinglespaceinternal"/>
        <w:spacing w:line="480" w:lineRule="auto"/>
      </w:pPr>
      <w:proofErr w:type="spellStart"/>
      <w:r>
        <w:t>Nather</w:t>
      </w:r>
      <w:proofErr w:type="spellEnd"/>
      <w:r>
        <w:t xml:space="preserve">, David. 2006. “White House Attempts to Ease Hill Friction.” </w:t>
      </w:r>
      <w:r>
        <w:rPr>
          <w:i/>
        </w:rPr>
        <w:t>CQ Weekly</w:t>
      </w:r>
      <w:r>
        <w:t xml:space="preserve">. </w:t>
      </w:r>
      <w:proofErr w:type="gramStart"/>
      <w:r>
        <w:t>April 3: 891-892.</w:t>
      </w:r>
      <w:proofErr w:type="gramEnd"/>
    </w:p>
    <w:p w:rsidR="00D65B5A" w:rsidRDefault="00D65B5A" w:rsidP="00007B2C">
      <w:pPr>
        <w:pStyle w:val="referencessinglespaceinternal"/>
        <w:spacing w:line="480" w:lineRule="auto"/>
        <w:rPr>
          <w:noProof/>
        </w:rPr>
      </w:pPr>
      <w:r w:rsidRPr="00E04B34">
        <w:rPr>
          <w:noProof/>
        </w:rPr>
        <w:t xml:space="preserve">Newey, Whitney K. 1987. “Efficient Estimation of Limited Dependent Variable Models with Endogenous Explanatory Variables.” </w:t>
      </w:r>
      <w:r w:rsidRPr="00E04B34">
        <w:rPr>
          <w:i/>
          <w:iCs/>
          <w:noProof/>
        </w:rPr>
        <w:t>Journal of Econometrics</w:t>
      </w:r>
      <w:r w:rsidRPr="00E04B34">
        <w:rPr>
          <w:noProof/>
        </w:rPr>
        <w:t xml:space="preserve"> 36(3): 231–250.</w:t>
      </w:r>
    </w:p>
    <w:p w:rsidR="00D65B5A" w:rsidRDefault="00D65B5A" w:rsidP="00007B2C">
      <w:pPr>
        <w:pStyle w:val="referencessinglespaceinternal"/>
        <w:spacing w:line="480" w:lineRule="auto"/>
      </w:pPr>
      <w:r>
        <w:t xml:space="preserve">Owens, John E. and J.M. </w:t>
      </w:r>
      <w:proofErr w:type="spellStart"/>
      <w:r>
        <w:t>Wrighton</w:t>
      </w:r>
      <w:proofErr w:type="spellEnd"/>
      <w:r>
        <w:t xml:space="preserve"> (2007) “Procedural Control and Majority Party Entrenchment in the U.S. House of Representatives: An Explanation of Rules Restrictiveness Over Time.” Presented to the MWPSA</w:t>
      </w:r>
    </w:p>
    <w:p w:rsidR="00D65B5A" w:rsidRDefault="00D65B5A" w:rsidP="00007B2C">
      <w:pPr>
        <w:pStyle w:val="referencessinglespaceinternal"/>
        <w:spacing w:line="480" w:lineRule="auto"/>
        <w:rPr>
          <w:noProof/>
        </w:rPr>
      </w:pPr>
      <w:r w:rsidRPr="00DA5E6A">
        <w:rPr>
          <w:noProof/>
        </w:rPr>
        <w:t xml:space="preserve">Rice, Laurie L. 2010. “Statements of Power: Presidential Use of Statements of Administration Policy and Signing Statements in the Legislative Process.” </w:t>
      </w:r>
      <w:r w:rsidRPr="00DA5E6A">
        <w:rPr>
          <w:i/>
          <w:noProof/>
        </w:rPr>
        <w:t>Presidential Studies Quarterly</w:t>
      </w:r>
      <w:r w:rsidRPr="00DA5E6A">
        <w:rPr>
          <w:noProof/>
        </w:rPr>
        <w:t>. 40: 686-707.</w:t>
      </w:r>
    </w:p>
    <w:p w:rsidR="00D65B5A" w:rsidRDefault="00D65B5A" w:rsidP="00007B2C">
      <w:pPr>
        <w:pStyle w:val="referencessinglespaceinternal"/>
        <w:spacing w:line="480" w:lineRule="auto"/>
      </w:pPr>
      <w:r>
        <w:rPr>
          <w:noProof/>
        </w:rPr>
        <w:t xml:space="preserve">Rogers, James R. 1998. “Bicameral Sequence: Theory and State Legislative Evidence.” </w:t>
      </w:r>
      <w:r>
        <w:rPr>
          <w:i/>
          <w:noProof/>
        </w:rPr>
        <w:t xml:space="preserve">American Journal of Political Science </w:t>
      </w:r>
      <w:r>
        <w:t>42(4): 1025-1060.</w:t>
      </w:r>
    </w:p>
    <w:p w:rsidR="00D65B5A" w:rsidRDefault="00D65B5A" w:rsidP="00007B2C">
      <w:pPr>
        <w:pStyle w:val="referencessinglespaceinternal"/>
        <w:spacing w:line="480" w:lineRule="auto"/>
        <w:rPr>
          <w:noProof/>
        </w:rPr>
      </w:pPr>
      <w:r>
        <w:rPr>
          <w:noProof/>
        </w:rPr>
        <w:t xml:space="preserve">Rohde, David W. 1991. </w:t>
      </w:r>
      <w:r>
        <w:rPr>
          <w:i/>
          <w:noProof/>
        </w:rPr>
        <w:t>Parties and Leaders in the Postreform House</w:t>
      </w:r>
      <w:r>
        <w:rPr>
          <w:noProof/>
        </w:rPr>
        <w:t>. Chicago: Chicago University Press.</w:t>
      </w:r>
    </w:p>
    <w:p w:rsidR="008853FA" w:rsidRDefault="00D65B5A" w:rsidP="00007B2C">
      <w:pPr>
        <w:pStyle w:val="referencessinglespaceinternal"/>
        <w:spacing w:line="480" w:lineRule="auto"/>
      </w:pPr>
      <w:r>
        <w:rPr>
          <w:noProof/>
        </w:rPr>
        <w:t xml:space="preserve">Schelling, Thomas. 1980. </w:t>
      </w:r>
      <w:r>
        <w:rPr>
          <w:i/>
          <w:noProof/>
        </w:rPr>
        <w:t xml:space="preserve">The Strategy of Conflict. </w:t>
      </w:r>
      <w:r>
        <w:t>Cambridge MA: Harvard University Press.</w:t>
      </w:r>
    </w:p>
    <w:p w:rsidR="00D65B5A" w:rsidRDefault="008853FA" w:rsidP="00007B2C">
      <w:pPr>
        <w:pStyle w:val="referencessinglespaceinternal"/>
        <w:spacing w:line="480" w:lineRule="auto"/>
      </w:pPr>
      <w:proofErr w:type="spellStart"/>
      <w:r>
        <w:t>Schickler</w:t>
      </w:r>
      <w:proofErr w:type="spellEnd"/>
      <w:r>
        <w:t xml:space="preserve">, Eric. 2001. </w:t>
      </w:r>
      <w:r>
        <w:rPr>
          <w:i/>
        </w:rPr>
        <w:t>Disjointed Pluralism: Institutional Innovation and the Development of the U.S. Congress.</w:t>
      </w:r>
      <w:r>
        <w:t xml:space="preserve"> Princeton, NJ: Princeton University Press.</w:t>
      </w:r>
    </w:p>
    <w:p w:rsidR="00D65B5A" w:rsidRPr="000D3252" w:rsidRDefault="00D65B5A" w:rsidP="00007B2C">
      <w:pPr>
        <w:pStyle w:val="referencessinglespaceinternal"/>
        <w:spacing w:line="480" w:lineRule="auto"/>
        <w:rPr>
          <w:rFonts w:ascii="Arial" w:hAnsi="Arial"/>
          <w:color w:val="222222"/>
          <w:sz w:val="21"/>
          <w:szCs w:val="21"/>
        </w:rPr>
      </w:pPr>
      <w:proofErr w:type="spellStart"/>
      <w:r w:rsidRPr="000D3252">
        <w:t>Sekhon</w:t>
      </w:r>
      <w:proofErr w:type="spellEnd"/>
      <w:r w:rsidRPr="000D3252">
        <w:t xml:space="preserve">, </w:t>
      </w:r>
      <w:proofErr w:type="spellStart"/>
      <w:r w:rsidRPr="000D3252">
        <w:t>J</w:t>
      </w:r>
      <w:r>
        <w:t>asjeet</w:t>
      </w:r>
      <w:proofErr w:type="spellEnd"/>
      <w:r w:rsidRPr="000D3252">
        <w:t xml:space="preserve">, </w:t>
      </w:r>
      <w:r w:rsidR="00FE27AC">
        <w:t>and</w:t>
      </w:r>
      <w:r w:rsidRPr="000D3252">
        <w:t xml:space="preserve"> Mebane, </w:t>
      </w:r>
      <w:r>
        <w:t>Walter R.</w:t>
      </w:r>
      <w:r w:rsidRPr="000D3252">
        <w:t xml:space="preserve"> (1998). </w:t>
      </w:r>
      <w:r>
        <w:t>“</w:t>
      </w:r>
      <w:r w:rsidRPr="000D3252">
        <w:t>Genetic optimization using derivatives.</w:t>
      </w:r>
      <w:r>
        <w:t xml:space="preserve">” </w:t>
      </w:r>
      <w:proofErr w:type="gramStart"/>
      <w:r w:rsidRPr="000D3252">
        <w:rPr>
          <w:i/>
        </w:rPr>
        <w:t>Political Analysis</w:t>
      </w:r>
      <w:r w:rsidRPr="000D3252">
        <w:t>, 7(1), 187-210.</w:t>
      </w:r>
      <w:proofErr w:type="gramEnd"/>
    </w:p>
    <w:p w:rsidR="00D65B5A" w:rsidRDefault="00D65B5A" w:rsidP="00007B2C">
      <w:pPr>
        <w:pStyle w:val="referencessinglespaceinternal"/>
        <w:spacing w:line="480" w:lineRule="auto"/>
      </w:pPr>
      <w:r w:rsidRPr="00E04B34">
        <w:rPr>
          <w:noProof/>
        </w:rPr>
        <w:t>Sinclair, Barbara. 200</w:t>
      </w:r>
      <w:r>
        <w:rPr>
          <w:noProof/>
        </w:rPr>
        <w:t>0</w:t>
      </w:r>
      <w:r w:rsidRPr="00E04B34">
        <w:rPr>
          <w:noProof/>
        </w:rPr>
        <w:t>. “</w:t>
      </w:r>
      <w:r>
        <w:rPr>
          <w:noProof/>
        </w:rPr>
        <w:t xml:space="preserve">Hostile Partners: The President, Congress, and Lawmaking in the Partisan 1990s." In </w:t>
      </w:r>
      <w:r>
        <w:rPr>
          <w:i/>
          <w:noProof/>
        </w:rPr>
        <w:t xml:space="preserve">Polarized </w:t>
      </w:r>
      <w:r w:rsidRPr="008759DB">
        <w:rPr>
          <w:i/>
          <w:noProof/>
        </w:rPr>
        <w:t>Politics</w:t>
      </w:r>
      <w:r>
        <w:rPr>
          <w:noProof/>
        </w:rPr>
        <w:t>, eds. Jon R. Bond and Richard Fleisher</w:t>
      </w:r>
      <w:r w:rsidRPr="00E04B34">
        <w:rPr>
          <w:noProof/>
        </w:rPr>
        <w:t>.</w:t>
      </w:r>
      <w:r>
        <w:rPr>
          <w:noProof/>
        </w:rPr>
        <w:t xml:space="preserve"> </w:t>
      </w:r>
      <w:r>
        <w:t xml:space="preserve">Washington, </w:t>
      </w:r>
      <w:proofErr w:type="gramStart"/>
      <w:r>
        <w:t>D.C.:</w:t>
      </w:r>
      <w:proofErr w:type="gramEnd"/>
      <w:r>
        <w:t xml:space="preserve"> CQ Press.</w:t>
      </w:r>
    </w:p>
    <w:p w:rsidR="00B76D93" w:rsidRDefault="00D65B5A" w:rsidP="00007B2C">
      <w:pPr>
        <w:pStyle w:val="referencessinglespaceinternal"/>
        <w:spacing w:line="480" w:lineRule="auto"/>
        <w:rPr>
          <w:noProof/>
        </w:rPr>
      </w:pPr>
      <w:r w:rsidRPr="00E04B34">
        <w:rPr>
          <w:noProof/>
        </w:rPr>
        <w:t xml:space="preserve">Sinclair, Barbara. 2011. </w:t>
      </w:r>
      <w:r w:rsidRPr="00E04B34">
        <w:rPr>
          <w:i/>
          <w:iCs/>
          <w:noProof/>
        </w:rPr>
        <w:t>Unorthodox Lawmaking: New Legislative Processes in the U.S. Congress</w:t>
      </w:r>
      <w:r w:rsidRPr="00E04B34">
        <w:rPr>
          <w:noProof/>
        </w:rPr>
        <w:t>. 4th ed. Washington, D.C.: CQ Press.</w:t>
      </w:r>
    </w:p>
    <w:p w:rsidR="008853FA" w:rsidRDefault="00B76D93" w:rsidP="00007B2C">
      <w:pPr>
        <w:pStyle w:val="referencessinglespaceinternal"/>
        <w:spacing w:line="480" w:lineRule="auto"/>
        <w:rPr>
          <w:noProof/>
        </w:rPr>
      </w:pPr>
      <w:r>
        <w:rPr>
          <w:noProof/>
        </w:rPr>
        <w:t>Taylor, A</w:t>
      </w:r>
      <w:r w:rsidR="009C0094">
        <w:rPr>
          <w:noProof/>
        </w:rPr>
        <w:t xml:space="preserve">ndrew </w:t>
      </w:r>
      <w:r>
        <w:rPr>
          <w:noProof/>
        </w:rPr>
        <w:t>J., 2008</w:t>
      </w:r>
      <w:r w:rsidRPr="00B76D93">
        <w:rPr>
          <w:noProof/>
        </w:rPr>
        <w:t xml:space="preserve">. </w:t>
      </w:r>
      <w:r>
        <w:rPr>
          <w:noProof/>
        </w:rPr>
        <w:t>“</w:t>
      </w:r>
      <w:r w:rsidRPr="00B76D93">
        <w:rPr>
          <w:noProof/>
        </w:rPr>
        <w:t>Strategic intercameral behavior and the sequence of congressional lawmaking.</w:t>
      </w:r>
      <w:r>
        <w:rPr>
          <w:noProof/>
        </w:rPr>
        <w:t>”</w:t>
      </w:r>
      <w:r w:rsidRPr="00B76D93">
        <w:rPr>
          <w:noProof/>
        </w:rPr>
        <w:t> </w:t>
      </w:r>
      <w:r w:rsidRPr="00B76D93">
        <w:rPr>
          <w:i/>
          <w:noProof/>
        </w:rPr>
        <w:t>American Politics Research</w:t>
      </w:r>
      <w:r>
        <w:rPr>
          <w:noProof/>
        </w:rPr>
        <w:t xml:space="preserve">, </w:t>
      </w:r>
      <w:r w:rsidRPr="00B76D93">
        <w:rPr>
          <w:noProof/>
        </w:rPr>
        <w:t> </w:t>
      </w:r>
      <w:r w:rsidRPr="00B76D93">
        <w:rPr>
          <w:i/>
          <w:noProof/>
        </w:rPr>
        <w:t>36</w:t>
      </w:r>
      <w:r w:rsidRPr="00B76D93">
        <w:rPr>
          <w:noProof/>
        </w:rPr>
        <w:t>(3), pp.451-474.</w:t>
      </w:r>
    </w:p>
    <w:p w:rsidR="008853FA" w:rsidRPr="008853FA" w:rsidRDefault="008853FA" w:rsidP="00007B2C">
      <w:pPr>
        <w:pStyle w:val="referencessinglespaceinternal"/>
        <w:spacing w:line="480" w:lineRule="auto"/>
      </w:pPr>
      <w:r>
        <w:rPr>
          <w:noProof/>
        </w:rPr>
        <w:t xml:space="preserve">Wirls, Daniel and Stephen Wirls. 2004. </w:t>
      </w:r>
      <w:r>
        <w:rPr>
          <w:i/>
          <w:noProof/>
        </w:rPr>
        <w:t>The Invention of the United States Senate.</w:t>
      </w:r>
      <w:r>
        <w:t xml:space="preserve"> Baltimore: Johns Hopkins University Press.</w:t>
      </w:r>
    </w:p>
    <w:sectPr w:rsidR="008853FA" w:rsidRPr="008853FA" w:rsidSect="00A31E00">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C0094" w:rsidRDefault="009C0094">
      <w:pPr>
        <w:spacing w:line="240" w:lineRule="auto"/>
      </w:pPr>
      <w:r>
        <w:separator/>
      </w:r>
    </w:p>
  </w:endnote>
  <w:endnote w:type="continuationSeparator" w:id="1">
    <w:p w:rsidR="009C0094" w:rsidRDefault="009C00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9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ejaVu San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094" w:rsidRDefault="009C0094" w:rsidP="00D956DE">
    <w:pPr>
      <w:pStyle w:val="Footer"/>
      <w:framePr w:wrap="around" w:vAnchor="text" w:hAnchor="margin" w:xAlign="right" w:y="1"/>
      <w:rPr>
        <w:rStyle w:val="PageNumber"/>
        <w:rFonts w:eastAsiaTheme="minorEastAsia" w:cstheme="minorBidi"/>
      </w:rPr>
    </w:pPr>
    <w:r>
      <w:rPr>
        <w:rStyle w:val="PageNumber"/>
      </w:rPr>
      <w:fldChar w:fldCharType="begin"/>
    </w:r>
    <w:r>
      <w:rPr>
        <w:rStyle w:val="PageNumber"/>
      </w:rPr>
      <w:instrText xml:space="preserve">PAGE  </w:instrText>
    </w:r>
    <w:r>
      <w:rPr>
        <w:rStyle w:val="PageNumber"/>
      </w:rPr>
      <w:fldChar w:fldCharType="end"/>
    </w:r>
  </w:p>
  <w:p w:rsidR="009C0094" w:rsidRDefault="009C0094" w:rsidP="00A0324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094" w:rsidRDefault="009C0094" w:rsidP="00A03248">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C0094" w:rsidRDefault="009C0094">
      <w:pPr>
        <w:spacing w:line="240" w:lineRule="auto"/>
      </w:pPr>
      <w:r>
        <w:separator/>
      </w:r>
    </w:p>
  </w:footnote>
  <w:footnote w:type="continuationSeparator" w:id="1">
    <w:p w:rsidR="009C0094" w:rsidRDefault="009C0094">
      <w:pPr>
        <w:spacing w:line="240" w:lineRule="auto"/>
      </w:pPr>
      <w:r>
        <w:continuationSeparator/>
      </w:r>
    </w:p>
  </w:footnote>
  <w:footnote w:id="2">
    <w:p w:rsidR="009C0094" w:rsidRDefault="009C0094" w:rsidP="00C90BFB">
      <w:pPr>
        <w:pStyle w:val="FootnoteText"/>
      </w:pPr>
      <w:r>
        <w:rPr>
          <w:rStyle w:val="FootnoteReference"/>
        </w:rPr>
        <w:footnoteRef/>
      </w:r>
      <w:r>
        <w:t xml:space="preserve"> C</w:t>
      </w:r>
      <w:r w:rsidRPr="003E74FB">
        <w:t xml:space="preserve">heap talk </w:t>
      </w:r>
      <w:r>
        <w:t xml:space="preserve">does allow that </w:t>
      </w:r>
      <w:r w:rsidRPr="003E74FB">
        <w:t xml:space="preserve">“might veto” </w:t>
      </w:r>
      <w:r>
        <w:t>signals can have a minimal impact on legislation in that such messages convey that the president does not prefer the proposal to any alternative legislation closer to the status quo</w:t>
      </w:r>
      <w:r w:rsidRPr="003E74FB">
        <w:t xml:space="preserve">. </w:t>
      </w:r>
      <w:r>
        <w:t xml:space="preserve"> This may prompt Congress to shift the proposal’s policy closer to status quo (Matthews 1985)</w:t>
      </w:r>
      <w:r w:rsidRPr="003E74FB">
        <w:t>.</w:t>
      </w:r>
    </w:p>
  </w:footnote>
  <w:footnote w:id="3">
    <w:p w:rsidR="009C0094" w:rsidRDefault="009C0094" w:rsidP="006C57C0">
      <w:pPr>
        <w:pStyle w:val="FootnoteText"/>
      </w:pPr>
      <w:r>
        <w:rPr>
          <w:rStyle w:val="FootnoteReference"/>
        </w:rPr>
        <w:footnoteRef/>
      </w:r>
      <w:r>
        <w:t xml:space="preserve"> Senior Clinton legislative affairs aide Patrick Griffin stressed to us that presidents had to be careful to avoid making veto threats that would allow Congress to box them into untenable positions a la </w:t>
      </w:r>
      <w:proofErr w:type="spellStart"/>
      <w:r>
        <w:t>Groseclose</w:t>
      </w:r>
      <w:proofErr w:type="spellEnd"/>
      <w:r>
        <w:t xml:space="preserve"> and McCarty (2001).</w:t>
      </w:r>
    </w:p>
    <w:p w:rsidR="009C0094" w:rsidRDefault="009C0094" w:rsidP="006C57C0">
      <w:pPr>
        <w:pStyle w:val="FootnoteText"/>
      </w:pPr>
    </w:p>
  </w:footnote>
  <w:footnote w:id="4">
    <w:p w:rsidR="009C0094" w:rsidRPr="00AB628D" w:rsidRDefault="009C0094" w:rsidP="006C57C0">
      <w:pPr>
        <w:pStyle w:val="FootnoteText"/>
      </w:pPr>
      <w:r>
        <w:rPr>
          <w:rStyle w:val="FootnoteReference"/>
        </w:rPr>
        <w:footnoteRef/>
      </w:r>
      <w:r>
        <w:t xml:space="preserve"> </w:t>
      </w:r>
      <w:r w:rsidRPr="00AB628D">
        <w:t xml:space="preserve">McCarty (1997) </w:t>
      </w:r>
      <w:r>
        <w:t xml:space="preserve">demonstrates that the reputational costs of presidential messages will vary across presidents’ tenure. </w:t>
      </w:r>
      <w:r w:rsidRPr="00AB628D">
        <w:t>Relax</w:t>
      </w:r>
      <w:r>
        <w:t>ing</w:t>
      </w:r>
      <w:r w:rsidRPr="00AB628D">
        <w:t xml:space="preserve"> cheap talk’s non-repeated game stipulation</w:t>
      </w:r>
      <w:r>
        <w:t>, McCarty</w:t>
      </w:r>
      <w:r w:rsidRPr="00AB628D">
        <w:t xml:space="preserve"> allow</w:t>
      </w:r>
      <w:r>
        <w:t>s</w:t>
      </w:r>
      <w:r w:rsidRPr="00AB628D">
        <w:t xml:space="preserve"> reputational considerations to enter presidents’ veto rhetoric and legislators’ assessments of the credibility of veto threats. As </w:t>
      </w:r>
      <w:r>
        <w:t>presidents’</w:t>
      </w:r>
      <w:r w:rsidRPr="00AB628D">
        <w:t xml:space="preserve"> choice horizon shortens, </w:t>
      </w:r>
      <w:r>
        <w:t>they</w:t>
      </w:r>
      <w:r w:rsidRPr="00AB628D">
        <w:t xml:space="preserve"> discount the value of their reputations and begin to issue non-credible threats, and even if not, legislators will suspect them of doing so. </w:t>
      </w:r>
    </w:p>
    <w:p w:rsidR="009C0094" w:rsidRDefault="009C0094">
      <w:pPr>
        <w:pStyle w:val="FootnoteText"/>
      </w:pPr>
    </w:p>
  </w:footnote>
  <w:footnote w:id="5">
    <w:p w:rsidR="009C0094" w:rsidRDefault="009C0094" w:rsidP="0093066C">
      <w:pPr>
        <w:pStyle w:val="FootnoteText"/>
      </w:pPr>
      <w:r w:rsidRPr="00BD0FDA">
        <w:rPr>
          <w:rStyle w:val="FootnoteReference"/>
          <w:rFonts w:eastAsiaTheme="majorEastAsia"/>
        </w:rPr>
        <w:footnoteRef/>
      </w:r>
      <w:r w:rsidRPr="00BD0FDA">
        <w:t xml:space="preserve"> Similarly, fellow partisans in Congress who voted for a bill are significantly more likely to switch their vote to sustain their president’s veto than are the bill’s initial supporters from the other party </w:t>
      </w:r>
      <w:r w:rsidRPr="00BD0FDA">
        <w:rPr>
          <w:noProof/>
        </w:rPr>
        <w:t>(Krehbiel 1998)</w:t>
      </w:r>
      <w:r w:rsidRPr="00BD0FDA">
        <w:t>.</w:t>
      </w:r>
    </w:p>
    <w:p w:rsidR="009C0094" w:rsidRPr="00BD0FDA" w:rsidRDefault="009C0094" w:rsidP="0093066C">
      <w:pPr>
        <w:pStyle w:val="FootnoteText"/>
      </w:pPr>
    </w:p>
  </w:footnote>
  <w:footnote w:id="6">
    <w:p w:rsidR="009C0094" w:rsidRDefault="009C0094" w:rsidP="0093066C">
      <w:pPr>
        <w:pStyle w:val="FootnoteText"/>
      </w:pPr>
      <w:r>
        <w:rPr>
          <w:rStyle w:val="FootnoteReference"/>
        </w:rPr>
        <w:footnoteRef/>
      </w:r>
      <w:r>
        <w:t xml:space="preserve"> </w:t>
      </w:r>
      <w:proofErr w:type="gramStart"/>
      <w:r>
        <w:t>Such requests were mentioned repeatedly by both Clinton and Bush aides</w:t>
      </w:r>
      <w:proofErr w:type="gramEnd"/>
      <w:r>
        <w:t xml:space="preserve">. When asked, “How often did this happen?” one </w:t>
      </w:r>
      <w:r w:rsidRPr="0093066C">
        <w:t>answered</w:t>
      </w:r>
      <w:r>
        <w:t xml:space="preserve">, “All the time.” (Interviews </w:t>
      </w:r>
      <w:proofErr w:type="gramStart"/>
      <w:r>
        <w:t>with …)</w:t>
      </w:r>
      <w:proofErr w:type="gramEnd"/>
      <w:r>
        <w:t xml:space="preserve"> </w:t>
      </w:r>
    </w:p>
    <w:p w:rsidR="009C0094" w:rsidRDefault="009C0094" w:rsidP="00C90BFB">
      <w:pPr>
        <w:pStyle w:val="FootnoteText"/>
      </w:pPr>
    </w:p>
  </w:footnote>
  <w:footnote w:id="7">
    <w:p w:rsidR="009C0094" w:rsidRPr="00A539F0" w:rsidRDefault="009C0094" w:rsidP="0093066C">
      <w:pPr>
        <w:pStyle w:val="FootnoteText"/>
      </w:pPr>
      <w:r w:rsidRPr="00A539F0">
        <w:rPr>
          <w:rStyle w:val="FootnoteReference"/>
          <w:rFonts w:eastAsiaTheme="majorEastAsia"/>
          <w:vertAlign w:val="baseline"/>
        </w:rPr>
        <w:footnoteRef/>
      </w:r>
      <w:r w:rsidRPr="00A539F0">
        <w:t xml:space="preserve"> Epstein and </w:t>
      </w:r>
      <w:proofErr w:type="spellStart"/>
      <w:r w:rsidRPr="00A539F0">
        <w:t>O’Halloran</w:t>
      </w:r>
      <w:proofErr w:type="spellEnd"/>
      <w:r w:rsidRPr="00A539F0">
        <w:t xml:space="preserve"> (1999) find that th</w:t>
      </w:r>
      <w:r w:rsidRPr="00A539F0">
        <w:rPr>
          <w:rStyle w:val="footnoteChar"/>
        </w:rPr>
        <w:t>e</w:t>
      </w:r>
      <w:r w:rsidRPr="00A539F0">
        <w:t xml:space="preserve"> number of committees on which the voting record of the majority party’s median member is an outlier increases with divided government. Outliers’ preferences systematically “tend to move counter to those of the President” (171).</w:t>
      </w:r>
    </w:p>
  </w:footnote>
  <w:footnote w:id="8">
    <w:p w:rsidR="009C0094" w:rsidRDefault="009C0094" w:rsidP="00CC4B72">
      <w:pPr>
        <w:pStyle w:val="footnote"/>
      </w:pPr>
      <w:r>
        <w:rPr>
          <w:rStyle w:val="FootnoteReference"/>
        </w:rPr>
        <w:footnoteRef/>
      </w:r>
      <w:r>
        <w:t xml:space="preserve"> Throughout our discussion, “extreme” and “moderate” represent ideological distance from the president’s policy preferences. In addition to unveiling a bill’s provisions that are in dispute, moving first assures the extreme chamber that its preferences are presented to the other players.</w:t>
      </w:r>
    </w:p>
  </w:footnote>
  <w:footnote w:id="9">
    <w:p w:rsidR="009C0094" w:rsidRDefault="009C0094" w:rsidP="0093066C">
      <w:pPr>
        <w:pStyle w:val="footnote"/>
      </w:pPr>
      <w:r>
        <w:rPr>
          <w:rStyle w:val="FootnoteReference"/>
        </w:rPr>
        <w:footnoteRef/>
      </w:r>
      <w:r>
        <w:t xml:space="preserve"> Of course, both chambers might hold extreme preferences with the second chamber proposing an equally extreme bill. Presidents can and occasionally do issue multiple threats at a bill as it wends its way through Congress, allowing us to detect instances of a second extreme bill following a veto threat.</w:t>
      </w:r>
    </w:p>
  </w:footnote>
  <w:footnote w:id="10">
    <w:p w:rsidR="009C0094" w:rsidRDefault="009C0094" w:rsidP="0093066C">
      <w:pPr>
        <w:pStyle w:val="footnote"/>
      </w:pPr>
      <w:r>
        <w:rPr>
          <w:rStyle w:val="FootnoteReference"/>
          <w:rFonts w:eastAsiaTheme="majorEastAsia"/>
        </w:rPr>
        <w:footnoteRef/>
      </w:r>
      <w:r>
        <w:t xml:space="preserve"> Recent research on the effect of veto threats on the removal of objectionable riders from annual appropriations bills closely follows this sequence. The House Appropriations Committee introduces the great majority of riders that presidents threaten with a veto; the House floor stands firm; the Senate removes</w:t>
      </w:r>
      <w:r w:rsidRPr="00954D5C">
        <w:rPr>
          <w:color w:val="FF0000"/>
        </w:rPr>
        <w:t xml:space="preserve"> </w:t>
      </w:r>
      <w:r w:rsidRPr="004030B4">
        <w:rPr>
          <w:color w:val="000000" w:themeColor="text1"/>
        </w:rPr>
        <w:t>sixty</w:t>
      </w:r>
      <w:r>
        <w:t xml:space="preserve"> percent of the remaining riders and those it cannot act on, it wraps into omnibus bills and punts them to conference; conference then removes a significant share of these threatened riders (</w:t>
      </w:r>
      <w:proofErr w:type="spellStart"/>
      <w:r>
        <w:t>Hassell</w:t>
      </w:r>
      <w:proofErr w:type="spellEnd"/>
      <w:r>
        <w:t xml:space="preserve"> and </w:t>
      </w:r>
      <w:proofErr w:type="spellStart"/>
      <w:r>
        <w:t>Kernell</w:t>
      </w:r>
      <w:proofErr w:type="spellEnd"/>
      <w:r>
        <w:t xml:space="preserve"> 2015). Of course, the House’s Constitutional responsibility for introducing appropriations measures prevents the reverse bicameral sequence.</w:t>
      </w:r>
    </w:p>
  </w:footnote>
  <w:footnote w:id="11">
    <w:p w:rsidR="009C0094" w:rsidRDefault="009C0094" w:rsidP="0093066C">
      <w:pPr>
        <w:pStyle w:val="footnote"/>
      </w:pPr>
      <w:r>
        <w:rPr>
          <w:rStyle w:val="FootnoteReference"/>
        </w:rPr>
        <w:footnoteRef/>
      </w:r>
      <w:r>
        <w:t xml:space="preserve"> See the supplementary materials for a distribution of the SAP destinations, and the corresponding number of bills and provisions threatened for each Congress.</w:t>
      </w:r>
    </w:p>
  </w:footnote>
  <w:footnote w:id="12">
    <w:p w:rsidR="009C0094" w:rsidRDefault="009C0094" w:rsidP="0093066C">
      <w:pPr>
        <w:pStyle w:val="footnote"/>
      </w:pPr>
      <w:r>
        <w:rPr>
          <w:rStyle w:val="FootnoteReference"/>
        </w:rPr>
        <w:footnoteRef/>
      </w:r>
      <w:r>
        <w:t xml:space="preserve"> Congress frequently and increasingly engages in alternative exercise for resolving differences. These include informal negotiations and ping-ponging bills across chambers to reach uniform language.</w:t>
      </w:r>
    </w:p>
    <w:p w:rsidR="009C0094" w:rsidRDefault="009C0094" w:rsidP="00943669">
      <w:pPr>
        <w:pStyle w:val="FootnoteText"/>
      </w:pPr>
    </w:p>
  </w:footnote>
  <w:footnote w:id="13">
    <w:p w:rsidR="009C0094" w:rsidRDefault="009C0094" w:rsidP="0093066C">
      <w:pPr>
        <w:pStyle w:val="footnote"/>
      </w:pPr>
      <w:r>
        <w:rPr>
          <w:rStyle w:val="FootnoteReference"/>
          <w:rFonts w:eastAsiaTheme="majorEastAsia"/>
        </w:rPr>
        <w:footnoteRef/>
      </w:r>
      <w:r>
        <w:t xml:space="preserve"> For examples of the semantics of S</w:t>
      </w:r>
      <w:bookmarkStart w:id="0" w:name="_GoBack"/>
      <w:bookmarkEnd w:id="0"/>
      <w:r>
        <w:t>AP-based veto threats, see the supplementary materials.</w:t>
      </w:r>
    </w:p>
  </w:footnote>
  <w:footnote w:id="14">
    <w:p w:rsidR="009C0094" w:rsidRDefault="009C0094" w:rsidP="0093066C">
      <w:pPr>
        <w:pStyle w:val="footnote"/>
      </w:pPr>
      <w:r>
        <w:rPr>
          <w:rStyle w:val="FootnoteReference"/>
        </w:rPr>
        <w:footnoteRef/>
      </w:r>
      <w:r>
        <w:t xml:space="preserve">Personal interview with Patrick Griffin, director of the Clinton White House’s Legislative Affairs office, May 20, 2015.   </w:t>
      </w:r>
    </w:p>
  </w:footnote>
  <w:footnote w:id="15">
    <w:p w:rsidR="009C0094" w:rsidRDefault="009C0094" w:rsidP="00CC4B72">
      <w:pPr>
        <w:pStyle w:val="footnote"/>
      </w:pPr>
      <w:r>
        <w:rPr>
          <w:rStyle w:val="FootnoteReference"/>
        </w:rPr>
        <w:footnoteRef/>
      </w:r>
      <w:r>
        <w:t xml:space="preserve"> Although correspondents have rarely referred to </w:t>
      </w:r>
      <w:proofErr w:type="spellStart"/>
      <w:r>
        <w:t>SAPs</w:t>
      </w:r>
      <w:proofErr w:type="spellEnd"/>
      <w:r>
        <w:t xml:space="preserve"> by name over the years, the president’s position on an issue contained in a SAP were routinely reported by both print and network news (</w:t>
      </w:r>
      <w:proofErr w:type="spellStart"/>
      <w:r>
        <w:t>Kernell</w:t>
      </w:r>
      <w:proofErr w:type="spellEnd"/>
      <w:r>
        <w:t xml:space="preserve"> 2005).</w:t>
      </w:r>
    </w:p>
  </w:footnote>
  <w:footnote w:id="16">
    <w:p w:rsidR="009C0094" w:rsidRDefault="009C0094" w:rsidP="0038041F">
      <w:pPr>
        <w:pStyle w:val="footnote"/>
      </w:pPr>
      <w:r>
        <w:rPr>
          <w:rStyle w:val="FootnoteReference"/>
        </w:rPr>
        <w:footnoteRef/>
      </w:r>
      <w:r>
        <w:t xml:space="preserve"> Searching JSTOR we find no references to </w:t>
      </w:r>
      <w:proofErr w:type="spellStart"/>
      <w:r>
        <w:t>SAPs</w:t>
      </w:r>
      <w:proofErr w:type="spellEnd"/>
      <w:r>
        <w:t xml:space="preserve"> in scholarship prior </w:t>
      </w:r>
      <w:r w:rsidRPr="002E1141">
        <w:t>to 1995.</w:t>
      </w:r>
      <w:r>
        <w:rPr>
          <w:color w:val="FF0000"/>
        </w:rPr>
        <w:t xml:space="preserve">  </w:t>
      </w:r>
      <w:r>
        <w:t xml:space="preserve">Even so, scholars have unknowingly employed them in that they served as the primary basis for </w:t>
      </w:r>
      <w:proofErr w:type="spellStart"/>
      <w:r>
        <w:t>CQ’s</w:t>
      </w:r>
      <w:proofErr w:type="spellEnd"/>
      <w:r>
        <w:t xml:space="preserve"> “presidential support score.” In years prior to posting </w:t>
      </w:r>
      <w:proofErr w:type="spellStart"/>
      <w:r>
        <w:t>SAPs</w:t>
      </w:r>
      <w:proofErr w:type="spellEnd"/>
      <w:r>
        <w:t xml:space="preserve"> on its website, OMB routinely faxed copies to </w:t>
      </w:r>
      <w:r>
        <w:rPr>
          <w:i/>
        </w:rPr>
        <w:t>CQ Weekly</w:t>
      </w:r>
      <w:r>
        <w:t xml:space="preserve"> and to other news agencies. </w:t>
      </w:r>
      <w:proofErr w:type="gramStart"/>
      <w:r>
        <w:t>Personal interviews with Congressional Quarterly staff in 2006 and 2010.</w:t>
      </w:r>
      <w:proofErr w:type="gramEnd"/>
    </w:p>
  </w:footnote>
  <w:footnote w:id="17">
    <w:p w:rsidR="009C0094" w:rsidRDefault="009C0094" w:rsidP="00CC4B72">
      <w:pPr>
        <w:pStyle w:val="footnote"/>
      </w:pPr>
      <w:r>
        <w:rPr>
          <w:rStyle w:val="FootnoteReference"/>
        </w:rPr>
        <w:footnoteRef/>
      </w:r>
      <w:r>
        <w:t xml:space="preserve"> Below and in the supplementary appendix, we report comparable results for </w:t>
      </w:r>
      <w:proofErr w:type="spellStart"/>
      <w:r>
        <w:t>unenrolled</w:t>
      </w:r>
      <w:proofErr w:type="spellEnd"/>
      <w:r>
        <w:t xml:space="preserve"> bills for bill-level predictions 1A and 1B. Parallel analyses for </w:t>
      </w:r>
      <w:proofErr w:type="spellStart"/>
      <w:r>
        <w:t>unenrolled</w:t>
      </w:r>
      <w:proofErr w:type="spellEnd"/>
      <w:r>
        <w:t xml:space="preserve"> veto threatened provisions would far exceed our resources. We do, however, plan to test the relationships reported below on a matched sample of </w:t>
      </w:r>
      <w:proofErr w:type="spellStart"/>
      <w:r>
        <w:t>unenrolled</w:t>
      </w:r>
      <w:proofErr w:type="spellEnd"/>
      <w:r>
        <w:t xml:space="preserve"> provisions. Here, however, the reported effects of veto threats are confined to shaping legislation that Congress eventually passes.</w:t>
      </w:r>
    </w:p>
  </w:footnote>
  <w:footnote w:id="18">
    <w:p w:rsidR="009C0094" w:rsidRDefault="009C0094" w:rsidP="00CB29CD">
      <w:pPr>
        <w:pStyle w:val="footnote"/>
      </w:pPr>
      <w:r>
        <w:rPr>
          <w:rStyle w:val="FootnoteReference"/>
        </w:rPr>
        <w:footnoteRef/>
      </w:r>
      <w:r>
        <w:t xml:space="preserve"> We first populated the sampling universe for control provisions with only enrolled bills, from which we drew a random sample of 100. Noting that the occurrence of threatened provisions was significantly greater in larger bills, we stratified the sampling probability for bills with greater than and fewer than 100 provisions. For small bills one in four provisions were sampled and for large bills we sampled one in nine.</w:t>
      </w:r>
    </w:p>
  </w:footnote>
  <w:footnote w:id="19">
    <w:p w:rsidR="009C0094" w:rsidRDefault="009C0094" w:rsidP="00E4790C">
      <w:pPr>
        <w:pStyle w:val="footnote"/>
      </w:pPr>
      <w:r>
        <w:rPr>
          <w:rStyle w:val="FootnoteReference"/>
          <w:rFonts w:eastAsiaTheme="minorEastAsia"/>
        </w:rPr>
        <w:footnoteRef/>
      </w:r>
      <w:r>
        <w:t>Choice-based sample weights are calculated by c</w:t>
      </w:r>
      <w:r w:rsidRPr="007B25FE">
        <w:t xml:space="preserve">ross-referencing the randomly selected provisions with the list of provisions </w:t>
      </w:r>
      <w:r>
        <w:t xml:space="preserve">to identify the common observations. The relative frequency of threatened provisions to unthreatened provisions in the random sample is then used to generate inverse probability weights. </w:t>
      </w:r>
      <w:r w:rsidRPr="001F257D">
        <w:t xml:space="preserve">We reserve the choice-based sample to </w:t>
      </w:r>
      <w:r>
        <w:t xml:space="preserve">make population </w:t>
      </w:r>
      <w:r w:rsidRPr="001F257D">
        <w:t>estimat</w:t>
      </w:r>
      <w:r>
        <w:t>es</w:t>
      </w:r>
      <w:r w:rsidRPr="001F257D">
        <w:t xml:space="preserve"> in Table</w:t>
      </w:r>
      <w:r>
        <w:t>s</w:t>
      </w:r>
      <w:r w:rsidRPr="001F257D">
        <w:t xml:space="preserve"> 1 and Table 7.</w:t>
      </w:r>
    </w:p>
  </w:footnote>
  <w:footnote w:id="20">
    <w:p w:rsidR="009C0094" w:rsidRDefault="009C0094" w:rsidP="00CB29CD">
      <w:pPr>
        <w:pStyle w:val="footnote"/>
      </w:pPr>
      <w:r>
        <w:rPr>
          <w:rStyle w:val="FootnoteReference"/>
        </w:rPr>
        <w:footnoteRef/>
      </w:r>
      <w:r>
        <w:t xml:space="preserve"> </w:t>
      </w:r>
      <w:r>
        <w:rPr>
          <w:rFonts w:eastAsiaTheme="minorHAnsi"/>
        </w:rPr>
        <w:t xml:space="preserve">The genetic </w:t>
      </w:r>
      <w:r w:rsidRPr="00C30AC0">
        <w:rPr>
          <w:rFonts w:eastAsiaTheme="minorHAnsi"/>
        </w:rPr>
        <w:t>match</w:t>
      </w:r>
      <w:r>
        <w:rPr>
          <w:rFonts w:eastAsiaTheme="minorHAnsi"/>
        </w:rPr>
        <w:t>ing algorithm</w:t>
      </w:r>
      <w:r w:rsidRPr="00C30AC0">
        <w:rPr>
          <w:rFonts w:eastAsiaTheme="minorHAnsi"/>
        </w:rPr>
        <w:t xml:space="preserve"> </w:t>
      </w:r>
      <w:r>
        <w:rPr>
          <w:rFonts w:eastAsiaTheme="minorHAnsi"/>
        </w:rPr>
        <w:t xml:space="preserve">ran on the following variables: </w:t>
      </w:r>
      <w:r w:rsidRPr="00C30AC0">
        <w:rPr>
          <w:rFonts w:eastAsiaTheme="minorHAnsi"/>
        </w:rPr>
        <w:t xml:space="preserve">chamber origin of the </w:t>
      </w:r>
      <w:r>
        <w:rPr>
          <w:rFonts w:eastAsiaTheme="minorHAnsi"/>
        </w:rPr>
        <w:t>bill</w:t>
      </w:r>
      <w:r w:rsidRPr="00C30AC0">
        <w:rPr>
          <w:rFonts w:eastAsiaTheme="minorHAnsi"/>
        </w:rPr>
        <w:t xml:space="preserve">, </w:t>
      </w:r>
      <w:r>
        <w:rPr>
          <w:rFonts w:eastAsiaTheme="minorHAnsi"/>
        </w:rPr>
        <w:t>bill size</w:t>
      </w:r>
      <w:r w:rsidRPr="00C30AC0">
        <w:rPr>
          <w:rFonts w:eastAsiaTheme="minorHAnsi"/>
        </w:rPr>
        <w:t xml:space="preserve">, </w:t>
      </w:r>
      <w:r>
        <w:rPr>
          <w:rFonts w:eastAsiaTheme="minorHAnsi"/>
        </w:rPr>
        <w:t>bill cosponsor count</w:t>
      </w:r>
      <w:r w:rsidRPr="00C30AC0">
        <w:rPr>
          <w:rFonts w:eastAsiaTheme="minorHAnsi"/>
        </w:rPr>
        <w:t>, committee chair</w:t>
      </w:r>
      <w:r>
        <w:rPr>
          <w:rFonts w:eastAsiaTheme="minorHAnsi"/>
        </w:rPr>
        <w:t xml:space="preserve"> author</w:t>
      </w:r>
      <w:r w:rsidRPr="00C30AC0">
        <w:rPr>
          <w:rFonts w:eastAsiaTheme="minorHAnsi"/>
        </w:rPr>
        <w:t xml:space="preserve">, </w:t>
      </w:r>
      <w:r>
        <w:rPr>
          <w:rFonts w:eastAsiaTheme="minorHAnsi"/>
        </w:rPr>
        <w:t>ideological distance</w:t>
      </w:r>
      <w:r w:rsidRPr="00C30AC0">
        <w:rPr>
          <w:rFonts w:eastAsiaTheme="minorHAnsi"/>
        </w:rPr>
        <w:t xml:space="preserve"> b</w:t>
      </w:r>
      <w:r>
        <w:rPr>
          <w:rFonts w:eastAsiaTheme="minorHAnsi"/>
        </w:rPr>
        <w:t>etween bill author and president in</w:t>
      </w:r>
      <w:r w:rsidRPr="00C30AC0">
        <w:rPr>
          <w:rFonts w:eastAsiaTheme="minorHAnsi"/>
        </w:rPr>
        <w:t xml:space="preserve"> DW-Nomina</w:t>
      </w:r>
      <w:r>
        <w:rPr>
          <w:rFonts w:eastAsiaTheme="minorHAnsi"/>
        </w:rPr>
        <w:t xml:space="preserve">te space, </w:t>
      </w:r>
      <w:r w:rsidRPr="00C30AC0">
        <w:rPr>
          <w:rFonts w:eastAsiaTheme="minorHAnsi"/>
        </w:rPr>
        <w:t xml:space="preserve">first year of </w:t>
      </w:r>
      <w:r>
        <w:rPr>
          <w:rFonts w:eastAsiaTheme="minorHAnsi"/>
        </w:rPr>
        <w:t>presidential tenure</w:t>
      </w:r>
      <w:r w:rsidRPr="00C30AC0">
        <w:rPr>
          <w:rFonts w:eastAsiaTheme="minorHAnsi"/>
        </w:rPr>
        <w:t>, and fixed ef</w:t>
      </w:r>
      <w:r>
        <w:rPr>
          <w:rFonts w:eastAsiaTheme="minorHAnsi"/>
        </w:rPr>
        <w:t>fects for each administration. The supplementary materials identify the coding procedures and sources of all the variables used in the following analysis.</w:t>
      </w:r>
    </w:p>
  </w:footnote>
  <w:footnote w:id="21">
    <w:p w:rsidR="009C0094" w:rsidRPr="00FA212C" w:rsidRDefault="009C0094" w:rsidP="00FA212C">
      <w:pPr>
        <w:pStyle w:val="footnote"/>
        <w:rPr>
          <w:color w:val="FF0000"/>
        </w:rPr>
      </w:pPr>
      <w:r w:rsidRPr="00FE1CE5">
        <w:rPr>
          <w:rStyle w:val="FootnoteReference"/>
          <w:rFonts w:eastAsiaTheme="majorEastAsia"/>
        </w:rPr>
        <w:footnoteRef/>
      </w:r>
      <w:r w:rsidRPr="00FE1CE5">
        <w:t xml:space="preserve"> </w:t>
      </w:r>
      <w:r>
        <w:rPr>
          <w:rFonts w:eastAsiaTheme="minorHAnsi"/>
        </w:rPr>
        <w:t>The g</w:t>
      </w:r>
      <w:r w:rsidRPr="00C30AC0">
        <w:rPr>
          <w:rFonts w:eastAsiaTheme="minorHAnsi"/>
        </w:rPr>
        <w:t xml:space="preserve">enetic matching </w:t>
      </w:r>
      <w:r>
        <w:rPr>
          <w:rFonts w:eastAsiaTheme="minorHAnsi"/>
        </w:rPr>
        <w:t xml:space="preserve">procedure </w:t>
      </w:r>
      <w:r w:rsidRPr="00C30AC0">
        <w:rPr>
          <w:rFonts w:eastAsiaTheme="minorHAnsi"/>
        </w:rPr>
        <w:t xml:space="preserve">is a generalization of both propensity score and </w:t>
      </w:r>
      <w:proofErr w:type="spellStart"/>
      <w:r w:rsidRPr="00C30AC0">
        <w:rPr>
          <w:rFonts w:eastAsiaTheme="minorHAnsi"/>
        </w:rPr>
        <w:t>Mahalanobis</w:t>
      </w:r>
      <w:proofErr w:type="spellEnd"/>
      <w:r w:rsidRPr="00C30AC0">
        <w:rPr>
          <w:rFonts w:eastAsiaTheme="minorHAnsi"/>
        </w:rPr>
        <w:t xml:space="preserve"> distance matching.</w:t>
      </w:r>
      <w:r>
        <w:rPr>
          <w:rFonts w:eastAsiaTheme="minorHAnsi"/>
        </w:rPr>
        <w:t xml:space="preserve"> Estimating all of the reported relationships with the choice-based sample (without matching) yields essentially the same statistical relationships. Results with the </w:t>
      </w:r>
      <w:proofErr w:type="spellStart"/>
      <w:r>
        <w:rPr>
          <w:rFonts w:eastAsiaTheme="minorHAnsi"/>
        </w:rPr>
        <w:t>Mahalanobis</w:t>
      </w:r>
      <w:proofErr w:type="spellEnd"/>
      <w:r>
        <w:rPr>
          <w:rFonts w:eastAsiaTheme="minorHAnsi"/>
        </w:rPr>
        <w:t xml:space="preserve"> matching and choice-based sample are reported in the supplemental materials.</w:t>
      </w:r>
    </w:p>
  </w:footnote>
  <w:footnote w:id="22">
    <w:p w:rsidR="009C0094" w:rsidRDefault="009C0094" w:rsidP="00CB29CD">
      <w:pPr>
        <w:pStyle w:val="footnote"/>
      </w:pPr>
      <w:r>
        <w:rPr>
          <w:rStyle w:val="FootnoteReference"/>
        </w:rPr>
        <w:footnoteRef/>
      </w:r>
      <w:r>
        <w:t xml:space="preserve"> A full description, sources, and coding rules of the variables employed in the analysis are presented in the supplementary </w:t>
      </w:r>
      <w:r>
        <w:rPr>
          <w:rFonts w:eastAsiaTheme="minorHAnsi"/>
        </w:rPr>
        <w:t>materials</w:t>
      </w:r>
      <w:r>
        <w:t xml:space="preserve">. The supplementary </w:t>
      </w:r>
      <w:r>
        <w:rPr>
          <w:rFonts w:eastAsiaTheme="minorHAnsi"/>
        </w:rPr>
        <w:t xml:space="preserve">materials </w:t>
      </w:r>
      <w:r>
        <w:t>also report additional tests and robustness checks.</w:t>
      </w:r>
    </w:p>
  </w:footnote>
  <w:footnote w:id="23">
    <w:p w:rsidR="009C0094" w:rsidRDefault="009C0094" w:rsidP="00CB29CD">
      <w:pPr>
        <w:pStyle w:val="footnote"/>
        <w:rPr>
          <w:rFonts w:eastAsiaTheme="minorHAnsi"/>
        </w:rPr>
      </w:pPr>
      <w:r>
        <w:rPr>
          <w:rStyle w:val="FootnoteReference"/>
          <w:rFonts w:eastAsiaTheme="minorEastAsia"/>
        </w:rPr>
        <w:footnoteRef/>
      </w:r>
      <w:r>
        <w:t xml:space="preserve"> </w:t>
      </w:r>
      <w:r>
        <w:rPr>
          <w:rFonts w:eastAsiaTheme="minorHAnsi"/>
        </w:rPr>
        <w:t>In the 111</w:t>
      </w:r>
      <w:r w:rsidRPr="008B5691">
        <w:rPr>
          <w:rFonts w:eastAsiaTheme="minorHAnsi"/>
          <w:vertAlign w:val="superscript"/>
        </w:rPr>
        <w:t>th</w:t>
      </w:r>
      <w:r>
        <w:rPr>
          <w:rFonts w:eastAsiaTheme="minorHAnsi"/>
        </w:rPr>
        <w:t xml:space="preserve"> Democratic Congress, which lies beyond the period covered in our statistical analysis, President </w:t>
      </w:r>
      <w:proofErr w:type="spellStart"/>
      <w:r>
        <w:rPr>
          <w:rFonts w:eastAsiaTheme="minorHAnsi"/>
        </w:rPr>
        <w:t>Obama</w:t>
      </w:r>
      <w:proofErr w:type="spellEnd"/>
      <w:r>
        <w:rPr>
          <w:rFonts w:eastAsiaTheme="minorHAnsi"/>
        </w:rPr>
        <w:t xml:space="preserve"> threatened three bills (see Figure 1). George W. Bush is the leading exception to the pattern described here. During the unified Republican 108</w:t>
      </w:r>
      <w:r w:rsidRPr="00335AFF">
        <w:rPr>
          <w:rFonts w:eastAsiaTheme="minorHAnsi"/>
          <w:vertAlign w:val="superscript"/>
        </w:rPr>
        <w:t>th</w:t>
      </w:r>
      <w:r>
        <w:rPr>
          <w:rFonts w:eastAsiaTheme="minorHAnsi"/>
        </w:rPr>
        <w:t xml:space="preserve"> and 109</w:t>
      </w:r>
      <w:r w:rsidRPr="00335AFF">
        <w:rPr>
          <w:rFonts w:eastAsiaTheme="minorHAnsi"/>
          <w:vertAlign w:val="superscript"/>
        </w:rPr>
        <w:t>th</w:t>
      </w:r>
      <w:r>
        <w:rPr>
          <w:rFonts w:eastAsiaTheme="minorHAnsi"/>
        </w:rPr>
        <w:t xml:space="preserve"> Congresses Bush issued threatening </w:t>
      </w:r>
      <w:proofErr w:type="spellStart"/>
      <w:r>
        <w:rPr>
          <w:rFonts w:eastAsiaTheme="minorHAnsi"/>
        </w:rPr>
        <w:t>SAPs</w:t>
      </w:r>
      <w:proofErr w:type="spellEnd"/>
      <w:r>
        <w:rPr>
          <w:rFonts w:eastAsiaTheme="minorHAnsi"/>
        </w:rPr>
        <w:t xml:space="preserve"> targeting 20 bills reported out of Republican controlled committees. See supplementary materials for more detailed information about the distribution of SAP-based threats across administrations.</w:t>
      </w:r>
    </w:p>
    <w:p w:rsidR="009C0094" w:rsidRDefault="009C0094" w:rsidP="0032673C">
      <w:pPr>
        <w:pStyle w:val="footnote"/>
      </w:pPr>
    </w:p>
  </w:footnote>
  <w:footnote w:id="24">
    <w:p w:rsidR="009C0094" w:rsidRPr="00176335" w:rsidRDefault="009C0094" w:rsidP="00C90BFB">
      <w:pPr>
        <w:pStyle w:val="footnote"/>
        <w:rPr>
          <w:color w:val="FF0000"/>
        </w:rPr>
      </w:pPr>
      <w:r>
        <w:rPr>
          <w:rStyle w:val="FootnoteReference"/>
        </w:rPr>
        <w:footnoteRef/>
      </w:r>
      <w:r>
        <w:t xml:space="preserve"> Across the several filibuster measures we tested the results are essentially the same as reported here. We report the alternative filibuster threat specifications in the supplementary materials.</w:t>
      </w:r>
    </w:p>
  </w:footnote>
  <w:footnote w:id="25">
    <w:p w:rsidR="009C0094" w:rsidRDefault="009C0094" w:rsidP="00CB29CD">
      <w:pPr>
        <w:pStyle w:val="footnote"/>
      </w:pPr>
      <w:r>
        <w:rPr>
          <w:rStyle w:val="FootnoteReference"/>
        </w:rPr>
        <w:footnoteRef/>
      </w:r>
      <w:r>
        <w:t xml:space="preserve"> This result differs from the strong relationship for the more emphatic veto threat reported by </w:t>
      </w:r>
      <w:proofErr w:type="spellStart"/>
      <w:r>
        <w:t>Hassell</w:t>
      </w:r>
      <w:proofErr w:type="spellEnd"/>
      <w:r>
        <w:t xml:space="preserve"> and </w:t>
      </w:r>
      <w:proofErr w:type="spellStart"/>
      <w:r>
        <w:t>Kernell</w:t>
      </w:r>
      <w:proofErr w:type="spellEnd"/>
      <w:r>
        <w:t xml:space="preserve"> (2015) for appropriation bills. “Will veto” also failed to generate significantly stronger relationships for the models reported below. We report only the results for the composite veto threat variable.</w:t>
      </w:r>
    </w:p>
  </w:footnote>
  <w:footnote w:id="26">
    <w:p w:rsidR="009C0094" w:rsidRDefault="009C0094" w:rsidP="00CB29CD">
      <w:pPr>
        <w:pStyle w:val="footnote"/>
      </w:pPr>
      <w:r>
        <w:rPr>
          <w:rStyle w:val="FootnoteReference"/>
        </w:rPr>
        <w:footnoteRef/>
      </w:r>
      <w:r>
        <w:t xml:space="preserve"> Note that the “second chamber” estimates in Table 3 omit those provisions already modified or removed by the first chamber. Consequently, the relationships concern the likelihood of the chamber modifying a threatened provision.  </w:t>
      </w:r>
    </w:p>
  </w:footnote>
  <w:footnote w:id="27">
    <w:p w:rsidR="009C0094" w:rsidRDefault="009C0094" w:rsidP="00CB29CD">
      <w:pPr>
        <w:pStyle w:val="footnote"/>
      </w:pPr>
      <w:r>
        <w:rPr>
          <w:rStyle w:val="FootnoteReference"/>
        </w:rPr>
        <w:footnoteRef/>
      </w:r>
      <w:r>
        <w:t xml:space="preserve"> The modification rate for threatened provisions is underestimated here, given that we only track substantive changes to the provision that partially or fully respond to the veto threat.</w:t>
      </w:r>
    </w:p>
  </w:footnote>
  <w:footnote w:id="28">
    <w:p w:rsidR="009C0094" w:rsidRDefault="009C0094" w:rsidP="00CB29CD">
      <w:pPr>
        <w:pStyle w:val="footnote"/>
      </w:pPr>
      <w:r>
        <w:rPr>
          <w:rStyle w:val="FootnoteReference"/>
          <w:rFonts w:eastAsiaTheme="majorEastAsia"/>
        </w:rPr>
        <w:footnoteRef/>
      </w:r>
      <w:r>
        <w:t xml:space="preserve"> Certainly, conference may seek to restore agreement by splitting the difference between the conflicting provisions. We have scored new legislative language as either moderating the original extreme provision, even if the language is somewhat different from one of the chamber’s modification. To err conservatively against confirming prediction 3A, we have scored ambiguous changes in text as conference retention of the original, “extreme” provision.</w:t>
      </w:r>
    </w:p>
  </w:footnote>
  <w:footnote w:id="29">
    <w:p w:rsidR="009C0094" w:rsidRDefault="009C0094" w:rsidP="00CB29CD">
      <w:pPr>
        <w:pStyle w:val="footnote"/>
      </w:pPr>
      <w:r>
        <w:rPr>
          <w:rStyle w:val="FootnoteReference"/>
        </w:rPr>
        <w:footnoteRef/>
      </w:r>
      <w:r>
        <w:t xml:space="preserve"> Refer to Figure 2 for a diagram of all the possible revision patterns.</w:t>
      </w:r>
    </w:p>
  </w:footnote>
  <w:footnote w:id="30">
    <w:p w:rsidR="009C0094" w:rsidRDefault="009C0094" w:rsidP="00CB29CD">
      <w:pPr>
        <w:pStyle w:val="footnote"/>
      </w:pPr>
      <w:r>
        <w:rPr>
          <w:rStyle w:val="FootnoteReference"/>
        </w:rPr>
        <w:footnoteRef/>
      </w:r>
      <w:r>
        <w:t xml:space="preserve"> The real anomaly here, and the only one in this exercise, is the miserable success of the second chamber when it reverses the first chamber’s modifications of its own original proposals. We do not have an explanation for this.</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094" w:rsidRDefault="009C0094" w:rsidP="00B42A18">
    <w:pPr>
      <w:pStyle w:val="Header"/>
      <w:framePr w:wrap="around" w:vAnchor="text" w:hAnchor="margin" w:xAlign="right" w:y="1"/>
      <w:rPr>
        <w:rStyle w:val="PageNumber"/>
        <w:rFonts w:eastAsiaTheme="minorEastAsia" w:cstheme="minorBidi"/>
      </w:rPr>
    </w:pPr>
    <w:r>
      <w:rPr>
        <w:rStyle w:val="PageNumber"/>
      </w:rPr>
      <w:fldChar w:fldCharType="begin"/>
    </w:r>
    <w:r>
      <w:rPr>
        <w:rStyle w:val="PageNumber"/>
      </w:rPr>
      <w:instrText xml:space="preserve">PAGE  </w:instrText>
    </w:r>
    <w:r>
      <w:rPr>
        <w:rStyle w:val="PageNumber"/>
      </w:rPr>
      <w:fldChar w:fldCharType="end"/>
    </w:r>
  </w:p>
  <w:p w:rsidR="009C0094" w:rsidRDefault="009C0094" w:rsidP="00094E29">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094" w:rsidRDefault="009C0094" w:rsidP="00B42A18">
    <w:pPr>
      <w:pStyle w:val="Header"/>
      <w:framePr w:wrap="around" w:vAnchor="text" w:hAnchor="margin" w:xAlign="right" w:y="1"/>
      <w:rPr>
        <w:rStyle w:val="PageNumber"/>
        <w:rFonts w:eastAsiaTheme="minorEastAsia" w:cstheme="minorBidi"/>
      </w:rPr>
    </w:pPr>
    <w:r>
      <w:rPr>
        <w:rStyle w:val="PageNumber"/>
      </w:rPr>
      <w:fldChar w:fldCharType="begin"/>
    </w:r>
    <w:r>
      <w:rPr>
        <w:rStyle w:val="PageNumber"/>
      </w:rPr>
      <w:instrText xml:space="preserve">PAGE  </w:instrText>
    </w:r>
    <w:r>
      <w:rPr>
        <w:rStyle w:val="PageNumber"/>
      </w:rPr>
      <w:fldChar w:fldCharType="separate"/>
    </w:r>
    <w:r w:rsidR="001E4FE3">
      <w:rPr>
        <w:rStyle w:val="PageNumber"/>
        <w:noProof/>
      </w:rPr>
      <w:t>2</w:t>
    </w:r>
    <w:r>
      <w:rPr>
        <w:rStyle w:val="PageNumber"/>
      </w:rPr>
      <w:fldChar w:fldCharType="end"/>
    </w:r>
  </w:p>
  <w:p w:rsidR="009C0094" w:rsidRDefault="009C0094" w:rsidP="00094E29">
    <w:pPr>
      <w:pStyle w:val="Header"/>
      <w:ind w:right="360"/>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0094" w:rsidRDefault="009C0094" w:rsidP="00B00DE1">
    <w:pPr>
      <w:pStyle w:val="Header"/>
      <w:jc w:val="right"/>
    </w:pPr>
  </w:p>
  <w:p w:rsidR="009C0094" w:rsidRDefault="009C0094" w:rsidP="00B00DE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0133F"/>
    <w:multiLevelType w:val="hybridMultilevel"/>
    <w:tmpl w:val="2D66FD4C"/>
    <w:lvl w:ilvl="0" w:tplc="D132E75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1964"/>
    <w:multiLevelType w:val="hybridMultilevel"/>
    <w:tmpl w:val="B0B2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Lucida Grande"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Lucida Grande"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Lucida Grande"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919E2"/>
    <w:multiLevelType w:val="hybridMultilevel"/>
    <w:tmpl w:val="64582066"/>
    <w:lvl w:ilvl="0" w:tplc="D132E7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D4296"/>
    <w:multiLevelType w:val="hybridMultilevel"/>
    <w:tmpl w:val="055289E0"/>
    <w:lvl w:ilvl="0" w:tplc="FB1E787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D179F"/>
    <w:multiLevelType w:val="hybridMultilevel"/>
    <w:tmpl w:val="DC5C5CC6"/>
    <w:lvl w:ilvl="0" w:tplc="D132E7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D37FE"/>
    <w:multiLevelType w:val="hybridMultilevel"/>
    <w:tmpl w:val="07521792"/>
    <w:lvl w:ilvl="0" w:tplc="A1EEC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F21A2C"/>
    <w:multiLevelType w:val="hybridMultilevel"/>
    <w:tmpl w:val="7A744BAC"/>
    <w:lvl w:ilvl="0" w:tplc="D132E75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74320"/>
    <w:multiLevelType w:val="hybridMultilevel"/>
    <w:tmpl w:val="BBF2BA74"/>
    <w:lvl w:ilvl="0" w:tplc="D1AA1B1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3B73C6"/>
    <w:multiLevelType w:val="hybridMultilevel"/>
    <w:tmpl w:val="72B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64C69"/>
    <w:multiLevelType w:val="hybridMultilevel"/>
    <w:tmpl w:val="1B561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D2FD5"/>
    <w:multiLevelType w:val="hybridMultilevel"/>
    <w:tmpl w:val="F2DCAA5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579F5"/>
    <w:multiLevelType w:val="hybridMultilevel"/>
    <w:tmpl w:val="D88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32CD9"/>
    <w:multiLevelType w:val="multilevel"/>
    <w:tmpl w:val="DF42A32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640654A"/>
    <w:multiLevelType w:val="multilevel"/>
    <w:tmpl w:val="23B6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205A46"/>
    <w:multiLevelType w:val="hybridMultilevel"/>
    <w:tmpl w:val="CB807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086FDB"/>
    <w:multiLevelType w:val="hybridMultilevel"/>
    <w:tmpl w:val="0F824F5E"/>
    <w:lvl w:ilvl="0" w:tplc="38BA8B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8"/>
  </w:num>
  <w:num w:numId="4">
    <w:abstractNumId w:val="9"/>
  </w:num>
  <w:num w:numId="5">
    <w:abstractNumId w:val="5"/>
  </w:num>
  <w:num w:numId="6">
    <w:abstractNumId w:val="13"/>
  </w:num>
  <w:num w:numId="7">
    <w:abstractNumId w:val="15"/>
  </w:num>
  <w:num w:numId="8">
    <w:abstractNumId w:val="12"/>
  </w:num>
  <w:num w:numId="9">
    <w:abstractNumId w:val="16"/>
  </w:num>
  <w:num w:numId="10">
    <w:abstractNumId w:val="6"/>
  </w:num>
  <w:num w:numId="11">
    <w:abstractNumId w:val="2"/>
  </w:num>
  <w:num w:numId="12">
    <w:abstractNumId w:val="7"/>
  </w:num>
  <w:num w:numId="13">
    <w:abstractNumId w:val="0"/>
  </w:num>
  <w:num w:numId="14">
    <w:abstractNumId w:val="14"/>
  </w:num>
  <w:num w:numId="15">
    <w:abstractNumId w:val="3"/>
  </w:num>
  <w:num w:numId="16">
    <w:abstractNumId w:val="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B00DE1"/>
    <w:rsid w:val="00000C32"/>
    <w:rsid w:val="00001824"/>
    <w:rsid w:val="000030DE"/>
    <w:rsid w:val="000067E0"/>
    <w:rsid w:val="00006FBD"/>
    <w:rsid w:val="00007B2C"/>
    <w:rsid w:val="00011C2F"/>
    <w:rsid w:val="00012674"/>
    <w:rsid w:val="00013E9A"/>
    <w:rsid w:val="0002230D"/>
    <w:rsid w:val="000269F5"/>
    <w:rsid w:val="00032DD1"/>
    <w:rsid w:val="0004040F"/>
    <w:rsid w:val="0004329E"/>
    <w:rsid w:val="000524B4"/>
    <w:rsid w:val="000529D1"/>
    <w:rsid w:val="00052CED"/>
    <w:rsid w:val="0005337C"/>
    <w:rsid w:val="000533AC"/>
    <w:rsid w:val="00054F27"/>
    <w:rsid w:val="0006072E"/>
    <w:rsid w:val="000668CE"/>
    <w:rsid w:val="000735F9"/>
    <w:rsid w:val="000737CD"/>
    <w:rsid w:val="00086F89"/>
    <w:rsid w:val="00087274"/>
    <w:rsid w:val="000873BD"/>
    <w:rsid w:val="00090829"/>
    <w:rsid w:val="000908A1"/>
    <w:rsid w:val="00094E29"/>
    <w:rsid w:val="0009531E"/>
    <w:rsid w:val="0009540C"/>
    <w:rsid w:val="00096E0A"/>
    <w:rsid w:val="00096ECF"/>
    <w:rsid w:val="000A35BF"/>
    <w:rsid w:val="000A37E5"/>
    <w:rsid w:val="000A66DC"/>
    <w:rsid w:val="000B05E5"/>
    <w:rsid w:val="000B4AB8"/>
    <w:rsid w:val="000B4B4E"/>
    <w:rsid w:val="000C04BD"/>
    <w:rsid w:val="000C051A"/>
    <w:rsid w:val="000C2156"/>
    <w:rsid w:val="000C2DA5"/>
    <w:rsid w:val="000C45D1"/>
    <w:rsid w:val="000C4A9E"/>
    <w:rsid w:val="000C59D0"/>
    <w:rsid w:val="000C5BFE"/>
    <w:rsid w:val="000D01C1"/>
    <w:rsid w:val="000D5884"/>
    <w:rsid w:val="000D6953"/>
    <w:rsid w:val="000D69C1"/>
    <w:rsid w:val="000E53F8"/>
    <w:rsid w:val="000F0725"/>
    <w:rsid w:val="000F4081"/>
    <w:rsid w:val="000F7555"/>
    <w:rsid w:val="000F7A1D"/>
    <w:rsid w:val="00100BBF"/>
    <w:rsid w:val="00102ACC"/>
    <w:rsid w:val="001056F1"/>
    <w:rsid w:val="0010684C"/>
    <w:rsid w:val="00107503"/>
    <w:rsid w:val="00110765"/>
    <w:rsid w:val="0012426A"/>
    <w:rsid w:val="00127FB6"/>
    <w:rsid w:val="00131637"/>
    <w:rsid w:val="00131D6A"/>
    <w:rsid w:val="00132072"/>
    <w:rsid w:val="001327D2"/>
    <w:rsid w:val="0013564A"/>
    <w:rsid w:val="00143C59"/>
    <w:rsid w:val="001521C0"/>
    <w:rsid w:val="0015428E"/>
    <w:rsid w:val="001578F7"/>
    <w:rsid w:val="00160238"/>
    <w:rsid w:val="00163C2B"/>
    <w:rsid w:val="00164349"/>
    <w:rsid w:val="00170497"/>
    <w:rsid w:val="00176335"/>
    <w:rsid w:val="001770C2"/>
    <w:rsid w:val="00186F65"/>
    <w:rsid w:val="00191AF3"/>
    <w:rsid w:val="00192774"/>
    <w:rsid w:val="0019375F"/>
    <w:rsid w:val="001938A2"/>
    <w:rsid w:val="00193CB9"/>
    <w:rsid w:val="001947F7"/>
    <w:rsid w:val="001A1100"/>
    <w:rsid w:val="001A2A70"/>
    <w:rsid w:val="001A55F3"/>
    <w:rsid w:val="001B130A"/>
    <w:rsid w:val="001B1527"/>
    <w:rsid w:val="001B4FF6"/>
    <w:rsid w:val="001B629C"/>
    <w:rsid w:val="001B7BC2"/>
    <w:rsid w:val="001C08CA"/>
    <w:rsid w:val="001C3208"/>
    <w:rsid w:val="001C4F92"/>
    <w:rsid w:val="001C5C3D"/>
    <w:rsid w:val="001D2F60"/>
    <w:rsid w:val="001D3B42"/>
    <w:rsid w:val="001D3C09"/>
    <w:rsid w:val="001E4FE3"/>
    <w:rsid w:val="001E547B"/>
    <w:rsid w:val="001F097A"/>
    <w:rsid w:val="001F0DC4"/>
    <w:rsid w:val="001F257D"/>
    <w:rsid w:val="001F615D"/>
    <w:rsid w:val="00202284"/>
    <w:rsid w:val="002147E8"/>
    <w:rsid w:val="00220167"/>
    <w:rsid w:val="0022033A"/>
    <w:rsid w:val="00222E17"/>
    <w:rsid w:val="00225CF5"/>
    <w:rsid w:val="00225E25"/>
    <w:rsid w:val="00233C13"/>
    <w:rsid w:val="00235E78"/>
    <w:rsid w:val="002466F0"/>
    <w:rsid w:val="00251B46"/>
    <w:rsid w:val="00256DA9"/>
    <w:rsid w:val="00257188"/>
    <w:rsid w:val="002574DB"/>
    <w:rsid w:val="002638D0"/>
    <w:rsid w:val="002666B2"/>
    <w:rsid w:val="00270625"/>
    <w:rsid w:val="00272AE7"/>
    <w:rsid w:val="00275E22"/>
    <w:rsid w:val="0027661F"/>
    <w:rsid w:val="00276D3B"/>
    <w:rsid w:val="002803F5"/>
    <w:rsid w:val="00280DB0"/>
    <w:rsid w:val="0028122D"/>
    <w:rsid w:val="002827A8"/>
    <w:rsid w:val="002847F7"/>
    <w:rsid w:val="00292A85"/>
    <w:rsid w:val="002932F1"/>
    <w:rsid w:val="00296F0B"/>
    <w:rsid w:val="002A029F"/>
    <w:rsid w:val="002A5EE9"/>
    <w:rsid w:val="002A6D18"/>
    <w:rsid w:val="002A6D5B"/>
    <w:rsid w:val="002B3ACD"/>
    <w:rsid w:val="002B59BD"/>
    <w:rsid w:val="002B6CF5"/>
    <w:rsid w:val="002C0C51"/>
    <w:rsid w:val="002C233F"/>
    <w:rsid w:val="002C40B6"/>
    <w:rsid w:val="002C49E7"/>
    <w:rsid w:val="002D0669"/>
    <w:rsid w:val="002D1810"/>
    <w:rsid w:val="002D2CA4"/>
    <w:rsid w:val="002D5D2F"/>
    <w:rsid w:val="002D5EC3"/>
    <w:rsid w:val="002D6DFF"/>
    <w:rsid w:val="002E1141"/>
    <w:rsid w:val="002E3CE4"/>
    <w:rsid w:val="002E6FD6"/>
    <w:rsid w:val="002F15AE"/>
    <w:rsid w:val="002F4752"/>
    <w:rsid w:val="002F4AE6"/>
    <w:rsid w:val="002F62BA"/>
    <w:rsid w:val="002F78EC"/>
    <w:rsid w:val="00300B23"/>
    <w:rsid w:val="003058ED"/>
    <w:rsid w:val="00313AE8"/>
    <w:rsid w:val="003142D0"/>
    <w:rsid w:val="00314B0A"/>
    <w:rsid w:val="00314C8E"/>
    <w:rsid w:val="00315F1A"/>
    <w:rsid w:val="00315F64"/>
    <w:rsid w:val="0031609D"/>
    <w:rsid w:val="003252F0"/>
    <w:rsid w:val="00325E7E"/>
    <w:rsid w:val="0032673C"/>
    <w:rsid w:val="00333BA6"/>
    <w:rsid w:val="00334390"/>
    <w:rsid w:val="0033722C"/>
    <w:rsid w:val="003378CF"/>
    <w:rsid w:val="00340FE0"/>
    <w:rsid w:val="00340FE2"/>
    <w:rsid w:val="00341752"/>
    <w:rsid w:val="00346722"/>
    <w:rsid w:val="00346840"/>
    <w:rsid w:val="0035736E"/>
    <w:rsid w:val="00360A1C"/>
    <w:rsid w:val="003640FC"/>
    <w:rsid w:val="00375029"/>
    <w:rsid w:val="00375FDF"/>
    <w:rsid w:val="0037607E"/>
    <w:rsid w:val="0037620D"/>
    <w:rsid w:val="0038041F"/>
    <w:rsid w:val="00381CAF"/>
    <w:rsid w:val="00385FA8"/>
    <w:rsid w:val="0038636C"/>
    <w:rsid w:val="00387192"/>
    <w:rsid w:val="003940E8"/>
    <w:rsid w:val="00395053"/>
    <w:rsid w:val="003A3028"/>
    <w:rsid w:val="003A6CB9"/>
    <w:rsid w:val="003B1C87"/>
    <w:rsid w:val="003B272D"/>
    <w:rsid w:val="003B4E62"/>
    <w:rsid w:val="003B6F61"/>
    <w:rsid w:val="003C10E8"/>
    <w:rsid w:val="003C5383"/>
    <w:rsid w:val="003D033A"/>
    <w:rsid w:val="003D260B"/>
    <w:rsid w:val="003D2D79"/>
    <w:rsid w:val="003D4F40"/>
    <w:rsid w:val="003E07D0"/>
    <w:rsid w:val="003E25D4"/>
    <w:rsid w:val="003E5911"/>
    <w:rsid w:val="003F1442"/>
    <w:rsid w:val="003F6070"/>
    <w:rsid w:val="003F6772"/>
    <w:rsid w:val="003F7A9A"/>
    <w:rsid w:val="00402626"/>
    <w:rsid w:val="004030B4"/>
    <w:rsid w:val="00403CDF"/>
    <w:rsid w:val="004043DB"/>
    <w:rsid w:val="00406646"/>
    <w:rsid w:val="004075AB"/>
    <w:rsid w:val="004077E4"/>
    <w:rsid w:val="00423B90"/>
    <w:rsid w:val="004250F7"/>
    <w:rsid w:val="0042682C"/>
    <w:rsid w:val="00433D59"/>
    <w:rsid w:val="00434ED4"/>
    <w:rsid w:val="0044169C"/>
    <w:rsid w:val="00441CB4"/>
    <w:rsid w:val="00442C83"/>
    <w:rsid w:val="00442D92"/>
    <w:rsid w:val="00445094"/>
    <w:rsid w:val="00445315"/>
    <w:rsid w:val="004455A1"/>
    <w:rsid w:val="00447A72"/>
    <w:rsid w:val="0045301F"/>
    <w:rsid w:val="00454283"/>
    <w:rsid w:val="00457C66"/>
    <w:rsid w:val="00461DEC"/>
    <w:rsid w:val="00471493"/>
    <w:rsid w:val="00471B26"/>
    <w:rsid w:val="00471F2C"/>
    <w:rsid w:val="00472D1D"/>
    <w:rsid w:val="00473038"/>
    <w:rsid w:val="00482D4A"/>
    <w:rsid w:val="00491027"/>
    <w:rsid w:val="004950A1"/>
    <w:rsid w:val="00497AC8"/>
    <w:rsid w:val="00497CD3"/>
    <w:rsid w:val="004A28A0"/>
    <w:rsid w:val="004A6810"/>
    <w:rsid w:val="004A6EF3"/>
    <w:rsid w:val="004A7A16"/>
    <w:rsid w:val="004B06E4"/>
    <w:rsid w:val="004B0E99"/>
    <w:rsid w:val="004B2683"/>
    <w:rsid w:val="004B2AF8"/>
    <w:rsid w:val="004B6EE3"/>
    <w:rsid w:val="004C08AF"/>
    <w:rsid w:val="004C098F"/>
    <w:rsid w:val="004C26AF"/>
    <w:rsid w:val="004C550C"/>
    <w:rsid w:val="004C647B"/>
    <w:rsid w:val="004C6A23"/>
    <w:rsid w:val="004C7A71"/>
    <w:rsid w:val="004D318B"/>
    <w:rsid w:val="004E29DC"/>
    <w:rsid w:val="004E5A3D"/>
    <w:rsid w:val="004E7104"/>
    <w:rsid w:val="004F1EFA"/>
    <w:rsid w:val="004F4323"/>
    <w:rsid w:val="004F447D"/>
    <w:rsid w:val="004F686F"/>
    <w:rsid w:val="00500D2A"/>
    <w:rsid w:val="00502782"/>
    <w:rsid w:val="00502BE5"/>
    <w:rsid w:val="00507227"/>
    <w:rsid w:val="005106BF"/>
    <w:rsid w:val="00515027"/>
    <w:rsid w:val="00515EED"/>
    <w:rsid w:val="00520D4C"/>
    <w:rsid w:val="00521510"/>
    <w:rsid w:val="0052681C"/>
    <w:rsid w:val="00532473"/>
    <w:rsid w:val="005365B0"/>
    <w:rsid w:val="00537E98"/>
    <w:rsid w:val="00543B5E"/>
    <w:rsid w:val="00546247"/>
    <w:rsid w:val="00550D3A"/>
    <w:rsid w:val="00554607"/>
    <w:rsid w:val="00554FFB"/>
    <w:rsid w:val="00561DEB"/>
    <w:rsid w:val="00566C9D"/>
    <w:rsid w:val="00575F94"/>
    <w:rsid w:val="00580227"/>
    <w:rsid w:val="005823C9"/>
    <w:rsid w:val="005847A6"/>
    <w:rsid w:val="00584EBC"/>
    <w:rsid w:val="00590194"/>
    <w:rsid w:val="005916D8"/>
    <w:rsid w:val="005A77C3"/>
    <w:rsid w:val="005B0524"/>
    <w:rsid w:val="005B4481"/>
    <w:rsid w:val="005B4E37"/>
    <w:rsid w:val="005B5C2B"/>
    <w:rsid w:val="005C2582"/>
    <w:rsid w:val="005C2779"/>
    <w:rsid w:val="005C630D"/>
    <w:rsid w:val="005C65A9"/>
    <w:rsid w:val="005D03A7"/>
    <w:rsid w:val="005D26FA"/>
    <w:rsid w:val="005D4379"/>
    <w:rsid w:val="005D51CB"/>
    <w:rsid w:val="005E5610"/>
    <w:rsid w:val="005E721E"/>
    <w:rsid w:val="005F057B"/>
    <w:rsid w:val="005F141C"/>
    <w:rsid w:val="005F239B"/>
    <w:rsid w:val="00602EEA"/>
    <w:rsid w:val="0060333D"/>
    <w:rsid w:val="00603E04"/>
    <w:rsid w:val="00605742"/>
    <w:rsid w:val="006079AD"/>
    <w:rsid w:val="006136A1"/>
    <w:rsid w:val="00615014"/>
    <w:rsid w:val="006207DD"/>
    <w:rsid w:val="00627EFB"/>
    <w:rsid w:val="00631245"/>
    <w:rsid w:val="0063128C"/>
    <w:rsid w:val="00634D6D"/>
    <w:rsid w:val="00636E93"/>
    <w:rsid w:val="006419D3"/>
    <w:rsid w:val="006452C5"/>
    <w:rsid w:val="00645802"/>
    <w:rsid w:val="00647409"/>
    <w:rsid w:val="006475B6"/>
    <w:rsid w:val="00647775"/>
    <w:rsid w:val="00647DE5"/>
    <w:rsid w:val="00652A62"/>
    <w:rsid w:val="006572C6"/>
    <w:rsid w:val="006626A0"/>
    <w:rsid w:val="00664D79"/>
    <w:rsid w:val="006755F7"/>
    <w:rsid w:val="00682E80"/>
    <w:rsid w:val="0068414F"/>
    <w:rsid w:val="00686125"/>
    <w:rsid w:val="006861A2"/>
    <w:rsid w:val="00687E63"/>
    <w:rsid w:val="00692F27"/>
    <w:rsid w:val="00695F13"/>
    <w:rsid w:val="006A1F89"/>
    <w:rsid w:val="006A40B7"/>
    <w:rsid w:val="006B05BB"/>
    <w:rsid w:val="006B357B"/>
    <w:rsid w:val="006B390A"/>
    <w:rsid w:val="006C2FD6"/>
    <w:rsid w:val="006C45AE"/>
    <w:rsid w:val="006C57C0"/>
    <w:rsid w:val="006C5D88"/>
    <w:rsid w:val="006D4B77"/>
    <w:rsid w:val="006D79A7"/>
    <w:rsid w:val="006E1295"/>
    <w:rsid w:val="006E5CE5"/>
    <w:rsid w:val="006F0161"/>
    <w:rsid w:val="006F0290"/>
    <w:rsid w:val="006F0B46"/>
    <w:rsid w:val="006F153E"/>
    <w:rsid w:val="006F6D65"/>
    <w:rsid w:val="00702439"/>
    <w:rsid w:val="00714769"/>
    <w:rsid w:val="007170F0"/>
    <w:rsid w:val="00720E30"/>
    <w:rsid w:val="00736CAB"/>
    <w:rsid w:val="0074298E"/>
    <w:rsid w:val="007448C8"/>
    <w:rsid w:val="00746414"/>
    <w:rsid w:val="007472D3"/>
    <w:rsid w:val="00751AD4"/>
    <w:rsid w:val="00752376"/>
    <w:rsid w:val="00752A8B"/>
    <w:rsid w:val="007621F3"/>
    <w:rsid w:val="0077600C"/>
    <w:rsid w:val="00776651"/>
    <w:rsid w:val="00776E38"/>
    <w:rsid w:val="007804C2"/>
    <w:rsid w:val="007816EC"/>
    <w:rsid w:val="00782297"/>
    <w:rsid w:val="00782916"/>
    <w:rsid w:val="00783E56"/>
    <w:rsid w:val="0079379E"/>
    <w:rsid w:val="00793D11"/>
    <w:rsid w:val="00794BDC"/>
    <w:rsid w:val="00795B8D"/>
    <w:rsid w:val="007A5F02"/>
    <w:rsid w:val="007B0D30"/>
    <w:rsid w:val="007B4821"/>
    <w:rsid w:val="007B4C0C"/>
    <w:rsid w:val="007C2AF8"/>
    <w:rsid w:val="007D193B"/>
    <w:rsid w:val="007D388F"/>
    <w:rsid w:val="007E2B78"/>
    <w:rsid w:val="007E44D8"/>
    <w:rsid w:val="007F1550"/>
    <w:rsid w:val="007F2394"/>
    <w:rsid w:val="007F246D"/>
    <w:rsid w:val="007F41FB"/>
    <w:rsid w:val="007F52B0"/>
    <w:rsid w:val="00802C8D"/>
    <w:rsid w:val="008105E7"/>
    <w:rsid w:val="00810E78"/>
    <w:rsid w:val="00811BF2"/>
    <w:rsid w:val="00813DAF"/>
    <w:rsid w:val="0081547B"/>
    <w:rsid w:val="00815F17"/>
    <w:rsid w:val="0081740C"/>
    <w:rsid w:val="00823426"/>
    <w:rsid w:val="008250DF"/>
    <w:rsid w:val="008262BD"/>
    <w:rsid w:val="00826F8C"/>
    <w:rsid w:val="00830C02"/>
    <w:rsid w:val="00833E54"/>
    <w:rsid w:val="008363E1"/>
    <w:rsid w:val="0084342E"/>
    <w:rsid w:val="00846327"/>
    <w:rsid w:val="008517CC"/>
    <w:rsid w:val="00851919"/>
    <w:rsid w:val="00851B16"/>
    <w:rsid w:val="00856721"/>
    <w:rsid w:val="008629FD"/>
    <w:rsid w:val="008717A9"/>
    <w:rsid w:val="008760C9"/>
    <w:rsid w:val="00876BD3"/>
    <w:rsid w:val="0087799C"/>
    <w:rsid w:val="0088405B"/>
    <w:rsid w:val="008853FA"/>
    <w:rsid w:val="00887B6C"/>
    <w:rsid w:val="0089485E"/>
    <w:rsid w:val="008977C2"/>
    <w:rsid w:val="008A0F97"/>
    <w:rsid w:val="008A2149"/>
    <w:rsid w:val="008A40E5"/>
    <w:rsid w:val="008A45EC"/>
    <w:rsid w:val="008A66E6"/>
    <w:rsid w:val="008A7440"/>
    <w:rsid w:val="008B1856"/>
    <w:rsid w:val="008B55E0"/>
    <w:rsid w:val="008C6006"/>
    <w:rsid w:val="008C71A5"/>
    <w:rsid w:val="008D1153"/>
    <w:rsid w:val="008D38F6"/>
    <w:rsid w:val="008E073F"/>
    <w:rsid w:val="008E0B4D"/>
    <w:rsid w:val="008E3608"/>
    <w:rsid w:val="008E6381"/>
    <w:rsid w:val="00903FCB"/>
    <w:rsid w:val="00906EFA"/>
    <w:rsid w:val="00926CDF"/>
    <w:rsid w:val="00930297"/>
    <w:rsid w:val="0093066C"/>
    <w:rsid w:val="00937B2B"/>
    <w:rsid w:val="00941D13"/>
    <w:rsid w:val="00942B00"/>
    <w:rsid w:val="009432F2"/>
    <w:rsid w:val="00943669"/>
    <w:rsid w:val="00943A75"/>
    <w:rsid w:val="00944C81"/>
    <w:rsid w:val="00951883"/>
    <w:rsid w:val="00952570"/>
    <w:rsid w:val="00954D5C"/>
    <w:rsid w:val="00956A18"/>
    <w:rsid w:val="009601D2"/>
    <w:rsid w:val="0096357B"/>
    <w:rsid w:val="0096392C"/>
    <w:rsid w:val="009700C2"/>
    <w:rsid w:val="00972870"/>
    <w:rsid w:val="00974DF2"/>
    <w:rsid w:val="009826EE"/>
    <w:rsid w:val="009832DC"/>
    <w:rsid w:val="00983ABB"/>
    <w:rsid w:val="00985380"/>
    <w:rsid w:val="00985FAA"/>
    <w:rsid w:val="00986D84"/>
    <w:rsid w:val="00991ACC"/>
    <w:rsid w:val="009942B6"/>
    <w:rsid w:val="00995F55"/>
    <w:rsid w:val="009A1E98"/>
    <w:rsid w:val="009A68C7"/>
    <w:rsid w:val="009A6D39"/>
    <w:rsid w:val="009A7539"/>
    <w:rsid w:val="009B00CC"/>
    <w:rsid w:val="009B39A2"/>
    <w:rsid w:val="009B4D32"/>
    <w:rsid w:val="009C0094"/>
    <w:rsid w:val="009C1BD0"/>
    <w:rsid w:val="009C2D60"/>
    <w:rsid w:val="009C3B0D"/>
    <w:rsid w:val="009D391D"/>
    <w:rsid w:val="009E2B68"/>
    <w:rsid w:val="009E6163"/>
    <w:rsid w:val="009E65DA"/>
    <w:rsid w:val="009F11EE"/>
    <w:rsid w:val="009F1580"/>
    <w:rsid w:val="009F2B9C"/>
    <w:rsid w:val="009F3D64"/>
    <w:rsid w:val="009F7E3C"/>
    <w:rsid w:val="00A0232E"/>
    <w:rsid w:val="00A03160"/>
    <w:rsid w:val="00A03248"/>
    <w:rsid w:val="00A104A5"/>
    <w:rsid w:val="00A114BB"/>
    <w:rsid w:val="00A11CD6"/>
    <w:rsid w:val="00A136BB"/>
    <w:rsid w:val="00A13DBC"/>
    <w:rsid w:val="00A14DA0"/>
    <w:rsid w:val="00A16AF5"/>
    <w:rsid w:val="00A272DC"/>
    <w:rsid w:val="00A27A85"/>
    <w:rsid w:val="00A310E9"/>
    <w:rsid w:val="00A31225"/>
    <w:rsid w:val="00A31E00"/>
    <w:rsid w:val="00A32E14"/>
    <w:rsid w:val="00A3331E"/>
    <w:rsid w:val="00A3581E"/>
    <w:rsid w:val="00A4658B"/>
    <w:rsid w:val="00A46ECB"/>
    <w:rsid w:val="00A47BB8"/>
    <w:rsid w:val="00A47C53"/>
    <w:rsid w:val="00A54788"/>
    <w:rsid w:val="00A54AC5"/>
    <w:rsid w:val="00A56335"/>
    <w:rsid w:val="00A563A1"/>
    <w:rsid w:val="00A60948"/>
    <w:rsid w:val="00A62043"/>
    <w:rsid w:val="00A632DD"/>
    <w:rsid w:val="00A6651B"/>
    <w:rsid w:val="00A66CB7"/>
    <w:rsid w:val="00A81B0A"/>
    <w:rsid w:val="00A81F87"/>
    <w:rsid w:val="00A853D2"/>
    <w:rsid w:val="00A91857"/>
    <w:rsid w:val="00A91C50"/>
    <w:rsid w:val="00A96C8B"/>
    <w:rsid w:val="00AA2CAF"/>
    <w:rsid w:val="00AA4430"/>
    <w:rsid w:val="00AA7D14"/>
    <w:rsid w:val="00AB0B0E"/>
    <w:rsid w:val="00AB1CB0"/>
    <w:rsid w:val="00AB3C69"/>
    <w:rsid w:val="00AB3F57"/>
    <w:rsid w:val="00AB628D"/>
    <w:rsid w:val="00AB79AA"/>
    <w:rsid w:val="00AC095F"/>
    <w:rsid w:val="00AC0B9F"/>
    <w:rsid w:val="00AC3A08"/>
    <w:rsid w:val="00AC6B54"/>
    <w:rsid w:val="00AD0C99"/>
    <w:rsid w:val="00AD0D98"/>
    <w:rsid w:val="00AD2DC6"/>
    <w:rsid w:val="00AD4E2C"/>
    <w:rsid w:val="00AD5A82"/>
    <w:rsid w:val="00AE0741"/>
    <w:rsid w:val="00AE4BCB"/>
    <w:rsid w:val="00AE52EB"/>
    <w:rsid w:val="00AE611A"/>
    <w:rsid w:val="00AF0E66"/>
    <w:rsid w:val="00AF2FB9"/>
    <w:rsid w:val="00B00DE1"/>
    <w:rsid w:val="00B034D2"/>
    <w:rsid w:val="00B046F9"/>
    <w:rsid w:val="00B17BEF"/>
    <w:rsid w:val="00B2200B"/>
    <w:rsid w:val="00B22E05"/>
    <w:rsid w:val="00B25017"/>
    <w:rsid w:val="00B25149"/>
    <w:rsid w:val="00B258D3"/>
    <w:rsid w:val="00B300F4"/>
    <w:rsid w:val="00B305CA"/>
    <w:rsid w:val="00B312FB"/>
    <w:rsid w:val="00B32B94"/>
    <w:rsid w:val="00B35E31"/>
    <w:rsid w:val="00B41B47"/>
    <w:rsid w:val="00B42086"/>
    <w:rsid w:val="00B42A18"/>
    <w:rsid w:val="00B42EBA"/>
    <w:rsid w:val="00B46268"/>
    <w:rsid w:val="00B51A7A"/>
    <w:rsid w:val="00B52BA5"/>
    <w:rsid w:val="00B55011"/>
    <w:rsid w:val="00B613F6"/>
    <w:rsid w:val="00B644ED"/>
    <w:rsid w:val="00B6456C"/>
    <w:rsid w:val="00B70988"/>
    <w:rsid w:val="00B72A57"/>
    <w:rsid w:val="00B76D93"/>
    <w:rsid w:val="00B779F1"/>
    <w:rsid w:val="00B81F72"/>
    <w:rsid w:val="00B82236"/>
    <w:rsid w:val="00B91E08"/>
    <w:rsid w:val="00B93060"/>
    <w:rsid w:val="00B95580"/>
    <w:rsid w:val="00B96C66"/>
    <w:rsid w:val="00B9715D"/>
    <w:rsid w:val="00BA21EA"/>
    <w:rsid w:val="00BA4311"/>
    <w:rsid w:val="00BA44E5"/>
    <w:rsid w:val="00BA458D"/>
    <w:rsid w:val="00BA4D68"/>
    <w:rsid w:val="00BA58AE"/>
    <w:rsid w:val="00BA5D55"/>
    <w:rsid w:val="00BA608E"/>
    <w:rsid w:val="00BC0403"/>
    <w:rsid w:val="00BC292F"/>
    <w:rsid w:val="00BC4831"/>
    <w:rsid w:val="00BD25B7"/>
    <w:rsid w:val="00BD4F80"/>
    <w:rsid w:val="00BD709F"/>
    <w:rsid w:val="00BD71A2"/>
    <w:rsid w:val="00BD7F82"/>
    <w:rsid w:val="00BE0E15"/>
    <w:rsid w:val="00BE2A61"/>
    <w:rsid w:val="00BE5667"/>
    <w:rsid w:val="00BE57AB"/>
    <w:rsid w:val="00BF2620"/>
    <w:rsid w:val="00BF341A"/>
    <w:rsid w:val="00BF4AF6"/>
    <w:rsid w:val="00C01FC7"/>
    <w:rsid w:val="00C04B61"/>
    <w:rsid w:val="00C10B02"/>
    <w:rsid w:val="00C202B1"/>
    <w:rsid w:val="00C24C15"/>
    <w:rsid w:val="00C25AAD"/>
    <w:rsid w:val="00C26697"/>
    <w:rsid w:val="00C26EC5"/>
    <w:rsid w:val="00C30F1C"/>
    <w:rsid w:val="00C30FD9"/>
    <w:rsid w:val="00C40B5D"/>
    <w:rsid w:val="00C40DED"/>
    <w:rsid w:val="00C46D3B"/>
    <w:rsid w:val="00C522F8"/>
    <w:rsid w:val="00C523C3"/>
    <w:rsid w:val="00C53E52"/>
    <w:rsid w:val="00C5757A"/>
    <w:rsid w:val="00C607BB"/>
    <w:rsid w:val="00C66420"/>
    <w:rsid w:val="00C6672B"/>
    <w:rsid w:val="00C678F3"/>
    <w:rsid w:val="00C67BE5"/>
    <w:rsid w:val="00C67D22"/>
    <w:rsid w:val="00C712E3"/>
    <w:rsid w:val="00C72519"/>
    <w:rsid w:val="00C730EE"/>
    <w:rsid w:val="00C74FBA"/>
    <w:rsid w:val="00C800EA"/>
    <w:rsid w:val="00C82C4C"/>
    <w:rsid w:val="00C84E7D"/>
    <w:rsid w:val="00C85DD2"/>
    <w:rsid w:val="00C90BFB"/>
    <w:rsid w:val="00C91607"/>
    <w:rsid w:val="00C91885"/>
    <w:rsid w:val="00C93400"/>
    <w:rsid w:val="00CA15BC"/>
    <w:rsid w:val="00CA3E59"/>
    <w:rsid w:val="00CA559A"/>
    <w:rsid w:val="00CA6ADA"/>
    <w:rsid w:val="00CB29CD"/>
    <w:rsid w:val="00CB2CF2"/>
    <w:rsid w:val="00CB3B9B"/>
    <w:rsid w:val="00CB4D36"/>
    <w:rsid w:val="00CB5D65"/>
    <w:rsid w:val="00CC0D61"/>
    <w:rsid w:val="00CC1921"/>
    <w:rsid w:val="00CC3879"/>
    <w:rsid w:val="00CC4723"/>
    <w:rsid w:val="00CC4B72"/>
    <w:rsid w:val="00CC5891"/>
    <w:rsid w:val="00CC6798"/>
    <w:rsid w:val="00CD2CE1"/>
    <w:rsid w:val="00CD40AD"/>
    <w:rsid w:val="00CD683C"/>
    <w:rsid w:val="00CD7084"/>
    <w:rsid w:val="00CE0D6D"/>
    <w:rsid w:val="00CE2BCB"/>
    <w:rsid w:val="00D02F90"/>
    <w:rsid w:val="00D054C4"/>
    <w:rsid w:val="00D064A4"/>
    <w:rsid w:val="00D065B7"/>
    <w:rsid w:val="00D1156E"/>
    <w:rsid w:val="00D13826"/>
    <w:rsid w:val="00D15245"/>
    <w:rsid w:val="00D15A9A"/>
    <w:rsid w:val="00D16101"/>
    <w:rsid w:val="00D2063A"/>
    <w:rsid w:val="00D20955"/>
    <w:rsid w:val="00D27BF0"/>
    <w:rsid w:val="00D32F3D"/>
    <w:rsid w:val="00D330C7"/>
    <w:rsid w:val="00D333C0"/>
    <w:rsid w:val="00D36301"/>
    <w:rsid w:val="00D43876"/>
    <w:rsid w:val="00D5176D"/>
    <w:rsid w:val="00D54C26"/>
    <w:rsid w:val="00D54C58"/>
    <w:rsid w:val="00D57548"/>
    <w:rsid w:val="00D64BF5"/>
    <w:rsid w:val="00D64D41"/>
    <w:rsid w:val="00D6535B"/>
    <w:rsid w:val="00D65B5A"/>
    <w:rsid w:val="00D662C8"/>
    <w:rsid w:val="00D75347"/>
    <w:rsid w:val="00D81CBB"/>
    <w:rsid w:val="00D81F03"/>
    <w:rsid w:val="00D85632"/>
    <w:rsid w:val="00D8654D"/>
    <w:rsid w:val="00D872CF"/>
    <w:rsid w:val="00D90269"/>
    <w:rsid w:val="00D90CEB"/>
    <w:rsid w:val="00D956DE"/>
    <w:rsid w:val="00D956EE"/>
    <w:rsid w:val="00D978C3"/>
    <w:rsid w:val="00DA0207"/>
    <w:rsid w:val="00DB17EB"/>
    <w:rsid w:val="00DB2CF1"/>
    <w:rsid w:val="00DB36EF"/>
    <w:rsid w:val="00DB6C98"/>
    <w:rsid w:val="00DC19E8"/>
    <w:rsid w:val="00DC6DBF"/>
    <w:rsid w:val="00DD1A07"/>
    <w:rsid w:val="00DD32FF"/>
    <w:rsid w:val="00DD4B9C"/>
    <w:rsid w:val="00DD5136"/>
    <w:rsid w:val="00DE1535"/>
    <w:rsid w:val="00DE2F6F"/>
    <w:rsid w:val="00DE4888"/>
    <w:rsid w:val="00DE6279"/>
    <w:rsid w:val="00DF0509"/>
    <w:rsid w:val="00DF06AC"/>
    <w:rsid w:val="00DF5098"/>
    <w:rsid w:val="00DF5B44"/>
    <w:rsid w:val="00DF6D17"/>
    <w:rsid w:val="00E03781"/>
    <w:rsid w:val="00E04AAB"/>
    <w:rsid w:val="00E1119F"/>
    <w:rsid w:val="00E1593B"/>
    <w:rsid w:val="00E23A13"/>
    <w:rsid w:val="00E24078"/>
    <w:rsid w:val="00E25238"/>
    <w:rsid w:val="00E25B9F"/>
    <w:rsid w:val="00E26BFC"/>
    <w:rsid w:val="00E3290D"/>
    <w:rsid w:val="00E33C89"/>
    <w:rsid w:val="00E369AB"/>
    <w:rsid w:val="00E36E70"/>
    <w:rsid w:val="00E36F89"/>
    <w:rsid w:val="00E37BE0"/>
    <w:rsid w:val="00E401A9"/>
    <w:rsid w:val="00E42946"/>
    <w:rsid w:val="00E43FCC"/>
    <w:rsid w:val="00E4455F"/>
    <w:rsid w:val="00E447C8"/>
    <w:rsid w:val="00E4790C"/>
    <w:rsid w:val="00E51302"/>
    <w:rsid w:val="00E63BAD"/>
    <w:rsid w:val="00E652D0"/>
    <w:rsid w:val="00E71307"/>
    <w:rsid w:val="00E72FC6"/>
    <w:rsid w:val="00E7473C"/>
    <w:rsid w:val="00E75767"/>
    <w:rsid w:val="00E75A93"/>
    <w:rsid w:val="00E8076A"/>
    <w:rsid w:val="00E80A8B"/>
    <w:rsid w:val="00E87D88"/>
    <w:rsid w:val="00E9198E"/>
    <w:rsid w:val="00E965B3"/>
    <w:rsid w:val="00EA500E"/>
    <w:rsid w:val="00EA5103"/>
    <w:rsid w:val="00EA6780"/>
    <w:rsid w:val="00EA7E1B"/>
    <w:rsid w:val="00EB48FE"/>
    <w:rsid w:val="00ED2E5A"/>
    <w:rsid w:val="00ED3795"/>
    <w:rsid w:val="00ED6544"/>
    <w:rsid w:val="00ED796B"/>
    <w:rsid w:val="00EE19CA"/>
    <w:rsid w:val="00EE256E"/>
    <w:rsid w:val="00EE78FC"/>
    <w:rsid w:val="00EF07D5"/>
    <w:rsid w:val="00EF58E4"/>
    <w:rsid w:val="00F008C3"/>
    <w:rsid w:val="00F01568"/>
    <w:rsid w:val="00F07B89"/>
    <w:rsid w:val="00F1190E"/>
    <w:rsid w:val="00F12C11"/>
    <w:rsid w:val="00F14501"/>
    <w:rsid w:val="00F163EB"/>
    <w:rsid w:val="00F1766E"/>
    <w:rsid w:val="00F17A06"/>
    <w:rsid w:val="00F204A1"/>
    <w:rsid w:val="00F231EB"/>
    <w:rsid w:val="00F24C97"/>
    <w:rsid w:val="00F24CC6"/>
    <w:rsid w:val="00F315D9"/>
    <w:rsid w:val="00F326BF"/>
    <w:rsid w:val="00F37FAB"/>
    <w:rsid w:val="00F52D18"/>
    <w:rsid w:val="00F54AAB"/>
    <w:rsid w:val="00F64EC6"/>
    <w:rsid w:val="00F66A08"/>
    <w:rsid w:val="00F71BF6"/>
    <w:rsid w:val="00F81607"/>
    <w:rsid w:val="00F820FB"/>
    <w:rsid w:val="00F8320B"/>
    <w:rsid w:val="00F86A25"/>
    <w:rsid w:val="00FA212C"/>
    <w:rsid w:val="00FA2E61"/>
    <w:rsid w:val="00FA49A6"/>
    <w:rsid w:val="00FA4BA7"/>
    <w:rsid w:val="00FA6681"/>
    <w:rsid w:val="00FB5B62"/>
    <w:rsid w:val="00FB7233"/>
    <w:rsid w:val="00FC3B10"/>
    <w:rsid w:val="00FC5963"/>
    <w:rsid w:val="00FC6D1B"/>
    <w:rsid w:val="00FC7AF0"/>
    <w:rsid w:val="00FD40BC"/>
    <w:rsid w:val="00FD4A06"/>
    <w:rsid w:val="00FD4BDF"/>
    <w:rsid w:val="00FD5A01"/>
    <w:rsid w:val="00FE27AC"/>
    <w:rsid w:val="00FE56D5"/>
    <w:rsid w:val="00FE607C"/>
    <w:rsid w:val="00FE67FD"/>
    <w:rsid w:val="00FE6C32"/>
    <w:rsid w:val="00FF1DD4"/>
    <w:rsid w:val="00FF4816"/>
    <w:rsid w:val="00FF4A7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DE1"/>
    <w:pPr>
      <w:spacing w:after="0" w:line="480" w:lineRule="auto"/>
      <w:ind w:firstLine="720"/>
    </w:pPr>
    <w:rPr>
      <w:rFonts w:ascii="Times New Roman" w:eastAsiaTheme="minorEastAsia" w:hAnsi="Times New Roman"/>
    </w:rPr>
  </w:style>
  <w:style w:type="paragraph" w:styleId="Heading1">
    <w:name w:val="heading 1"/>
    <w:basedOn w:val="Normal"/>
    <w:next w:val="Normal"/>
    <w:link w:val="Heading1Char"/>
    <w:autoRedefine/>
    <w:uiPriority w:val="9"/>
    <w:qFormat/>
    <w:rsid w:val="00E9198E"/>
    <w:pPr>
      <w:keepNext/>
      <w:keepLines/>
      <w:spacing w:before="480"/>
      <w:jc w:val="center"/>
      <w:outlineLvl w:val="0"/>
    </w:pPr>
    <w:rPr>
      <w:rFonts w:eastAsiaTheme="majorEastAsia" w:cstheme="majorBidi"/>
      <w:b/>
      <w:bCs/>
      <w:sz w:val="36"/>
      <w:szCs w:val="32"/>
    </w:rPr>
  </w:style>
  <w:style w:type="paragraph" w:styleId="Heading2">
    <w:name w:val="heading 2"/>
    <w:basedOn w:val="Normal"/>
    <w:next w:val="Normal"/>
    <w:link w:val="Heading2Char"/>
    <w:autoRedefine/>
    <w:qFormat/>
    <w:rsid w:val="00B00DE1"/>
    <w:pPr>
      <w:keepNext/>
      <w:spacing w:before="240" w:after="120" w:line="240" w:lineRule="auto"/>
      <w:contextualSpacing/>
      <w:jc w:val="center"/>
      <w:outlineLvl w:val="1"/>
    </w:pPr>
    <w:rPr>
      <w:rFonts w:eastAsia="Times New Roman" w:cs="Arial"/>
      <w:b/>
      <w:sz w:val="32"/>
      <w:szCs w:val="32"/>
    </w:rPr>
  </w:style>
  <w:style w:type="paragraph" w:styleId="Heading3">
    <w:name w:val="heading 3"/>
    <w:basedOn w:val="Normal"/>
    <w:next w:val="Normal"/>
    <w:link w:val="Heading3Char"/>
    <w:autoRedefine/>
    <w:qFormat/>
    <w:rsid w:val="00E25238"/>
    <w:pPr>
      <w:keepNext/>
      <w:framePr w:wrap="around" w:vAnchor="text" w:hAnchor="text" w:y="1"/>
      <w:spacing w:before="120" w:after="120" w:line="240" w:lineRule="auto"/>
      <w:ind w:firstLine="0"/>
      <w:contextualSpacing/>
      <w:outlineLvl w:val="2"/>
    </w:pPr>
    <w:rPr>
      <w:rFonts w:eastAsiaTheme="majorEastAsia" w:cs="Times New Roman"/>
      <w:b/>
      <w:bCs/>
      <w:iCs/>
      <w:sz w:val="26"/>
      <w:szCs w:val="26"/>
    </w:rPr>
  </w:style>
  <w:style w:type="paragraph" w:styleId="Heading4">
    <w:name w:val="heading 4"/>
    <w:basedOn w:val="Normal"/>
    <w:next w:val="Normal"/>
    <w:link w:val="Heading4Char"/>
    <w:autoRedefine/>
    <w:unhideWhenUsed/>
    <w:qFormat/>
    <w:rsid w:val="00B00DE1"/>
    <w:pPr>
      <w:keepNext/>
      <w:keepLines/>
      <w:spacing w:before="120"/>
      <w:contextualSpacing/>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unhideWhenUsed/>
    <w:qFormat/>
    <w:rsid w:val="00B00DE1"/>
    <w:pPr>
      <w:keepNext/>
      <w:keepLines/>
      <w:spacing w:before="120"/>
      <w:contextualSpacing/>
      <w:outlineLvl w:val="4"/>
    </w:pPr>
    <w:rPr>
      <w:rFonts w:ascii="Arial" w:eastAsiaTheme="majorEastAsia" w:hAnsi="Arial" w:cstheme="majorBidi"/>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B00DE1"/>
    <w:pPr>
      <w:contextualSpacing/>
    </w:pPr>
    <w:rPr>
      <w:rFonts w:ascii="Tahoma" w:eastAsia="Times New Roman" w:hAnsi="Tahoma" w:cs="Tahoma"/>
      <w:sz w:val="16"/>
      <w:szCs w:val="16"/>
    </w:rPr>
  </w:style>
  <w:style w:type="character" w:customStyle="1" w:styleId="BalloonTextChar">
    <w:name w:val="Balloon Text Char"/>
    <w:basedOn w:val="DefaultParagraphFont"/>
    <w:uiPriority w:val="99"/>
    <w:semiHidden/>
    <w:rsid w:val="009E34D6"/>
    <w:rPr>
      <w:rFonts w:ascii="Lucida Grande" w:hAnsi="Lucida Grande"/>
      <w:sz w:val="18"/>
      <w:szCs w:val="18"/>
    </w:rPr>
  </w:style>
  <w:style w:type="character" w:customStyle="1" w:styleId="BalloonTextChar0">
    <w:name w:val="Balloon Text Char"/>
    <w:basedOn w:val="DefaultParagraphFont"/>
    <w:uiPriority w:val="99"/>
    <w:semiHidden/>
    <w:rsid w:val="004C3629"/>
    <w:rPr>
      <w:rFonts w:ascii="Lucida Grande" w:hAnsi="Lucida Grande"/>
      <w:sz w:val="18"/>
      <w:szCs w:val="18"/>
    </w:rPr>
  </w:style>
  <w:style w:type="character" w:customStyle="1" w:styleId="BalloonTextChar2">
    <w:name w:val="Balloon Text Char"/>
    <w:basedOn w:val="DefaultParagraphFont"/>
    <w:uiPriority w:val="99"/>
    <w:semiHidden/>
    <w:rsid w:val="004C3629"/>
    <w:rPr>
      <w:rFonts w:ascii="Lucida Grande" w:hAnsi="Lucida Grande"/>
      <w:sz w:val="18"/>
      <w:szCs w:val="18"/>
    </w:rPr>
  </w:style>
  <w:style w:type="character" w:customStyle="1" w:styleId="BalloonTextChar18">
    <w:name w:val="Balloon Text Char18"/>
    <w:basedOn w:val="DefaultParagraphFont"/>
    <w:uiPriority w:val="99"/>
    <w:semiHidden/>
    <w:rsid w:val="004C3629"/>
    <w:rPr>
      <w:rFonts w:ascii="Lucida Grande" w:hAnsi="Lucida Grande"/>
      <w:sz w:val="18"/>
      <w:szCs w:val="18"/>
    </w:rPr>
  </w:style>
  <w:style w:type="character" w:customStyle="1" w:styleId="BalloonTextChar17">
    <w:name w:val="Balloon Text Char17"/>
    <w:basedOn w:val="DefaultParagraphFont"/>
    <w:uiPriority w:val="99"/>
    <w:semiHidden/>
    <w:rsid w:val="004C3629"/>
    <w:rPr>
      <w:rFonts w:ascii="Lucida Grande" w:hAnsi="Lucida Grande"/>
      <w:sz w:val="18"/>
      <w:szCs w:val="18"/>
    </w:rPr>
  </w:style>
  <w:style w:type="character" w:customStyle="1" w:styleId="BalloonTextChar16">
    <w:name w:val="Balloon Text Char16"/>
    <w:basedOn w:val="DefaultParagraphFont"/>
    <w:uiPriority w:val="99"/>
    <w:semiHidden/>
    <w:rsid w:val="004C3629"/>
    <w:rPr>
      <w:rFonts w:ascii="Lucida Grande" w:hAnsi="Lucida Grande"/>
      <w:sz w:val="18"/>
      <w:szCs w:val="18"/>
    </w:rPr>
  </w:style>
  <w:style w:type="character" w:customStyle="1" w:styleId="BalloonTextChar15">
    <w:name w:val="Balloon Text Char15"/>
    <w:basedOn w:val="DefaultParagraphFont"/>
    <w:uiPriority w:val="99"/>
    <w:semiHidden/>
    <w:rsid w:val="004C3629"/>
    <w:rPr>
      <w:rFonts w:ascii="Lucida Grande" w:hAnsi="Lucida Grande"/>
      <w:sz w:val="18"/>
      <w:szCs w:val="18"/>
    </w:rPr>
  </w:style>
  <w:style w:type="character" w:customStyle="1" w:styleId="BalloonTextChar14">
    <w:name w:val="Balloon Text Char14"/>
    <w:basedOn w:val="DefaultParagraphFont"/>
    <w:uiPriority w:val="99"/>
    <w:semiHidden/>
    <w:rsid w:val="004C3629"/>
    <w:rPr>
      <w:rFonts w:ascii="Lucida Grande" w:hAnsi="Lucida Grande"/>
      <w:sz w:val="18"/>
      <w:szCs w:val="18"/>
    </w:rPr>
  </w:style>
  <w:style w:type="character" w:customStyle="1" w:styleId="BalloonTextChar13">
    <w:name w:val="Balloon Text Char13"/>
    <w:basedOn w:val="DefaultParagraphFont"/>
    <w:uiPriority w:val="99"/>
    <w:semiHidden/>
    <w:rsid w:val="004C3629"/>
    <w:rPr>
      <w:rFonts w:ascii="Lucida Grande" w:hAnsi="Lucida Grande"/>
      <w:sz w:val="18"/>
      <w:szCs w:val="18"/>
    </w:rPr>
  </w:style>
  <w:style w:type="character" w:customStyle="1" w:styleId="BalloonTextChar12">
    <w:name w:val="Balloon Text Char12"/>
    <w:basedOn w:val="DefaultParagraphFont"/>
    <w:uiPriority w:val="99"/>
    <w:semiHidden/>
    <w:rsid w:val="00977123"/>
    <w:rPr>
      <w:rFonts w:ascii="Lucida Grande" w:hAnsi="Lucida Grande"/>
      <w:sz w:val="18"/>
      <w:szCs w:val="18"/>
    </w:rPr>
  </w:style>
  <w:style w:type="character" w:customStyle="1" w:styleId="BalloonTextChar11">
    <w:name w:val="Balloon Text Char11"/>
    <w:basedOn w:val="DefaultParagraphFont"/>
    <w:uiPriority w:val="99"/>
    <w:semiHidden/>
    <w:rsid w:val="00977123"/>
    <w:rPr>
      <w:rFonts w:ascii="Lucida Grande" w:hAnsi="Lucida Grande"/>
      <w:sz w:val="18"/>
      <w:szCs w:val="18"/>
    </w:rPr>
  </w:style>
  <w:style w:type="character" w:customStyle="1" w:styleId="BalloonTextChar10">
    <w:name w:val="Balloon Text Char10"/>
    <w:basedOn w:val="DefaultParagraphFont"/>
    <w:uiPriority w:val="99"/>
    <w:semiHidden/>
    <w:rsid w:val="002844C0"/>
    <w:rPr>
      <w:rFonts w:ascii="Lucida Grande" w:hAnsi="Lucida Grande"/>
      <w:sz w:val="18"/>
      <w:szCs w:val="18"/>
    </w:rPr>
  </w:style>
  <w:style w:type="character" w:customStyle="1" w:styleId="BalloonTextChar9">
    <w:name w:val="Balloon Text Char9"/>
    <w:basedOn w:val="DefaultParagraphFont"/>
    <w:uiPriority w:val="99"/>
    <w:semiHidden/>
    <w:rsid w:val="005652AF"/>
    <w:rPr>
      <w:rFonts w:ascii="Lucida Grande" w:hAnsi="Lucida Grande"/>
      <w:sz w:val="18"/>
      <w:szCs w:val="18"/>
    </w:rPr>
  </w:style>
  <w:style w:type="character" w:customStyle="1" w:styleId="BalloonTextChar8">
    <w:name w:val="Balloon Text Char8"/>
    <w:basedOn w:val="DefaultParagraphFont"/>
    <w:uiPriority w:val="99"/>
    <w:semiHidden/>
    <w:rsid w:val="005652AF"/>
    <w:rPr>
      <w:rFonts w:ascii="Lucida Grande" w:hAnsi="Lucida Grande"/>
      <w:sz w:val="18"/>
      <w:szCs w:val="18"/>
    </w:rPr>
  </w:style>
  <w:style w:type="character" w:customStyle="1" w:styleId="BalloonTextChar7">
    <w:name w:val="Balloon Text Char7"/>
    <w:basedOn w:val="DefaultParagraphFont"/>
    <w:uiPriority w:val="99"/>
    <w:semiHidden/>
    <w:rsid w:val="00993147"/>
    <w:rPr>
      <w:rFonts w:ascii="Lucida Grande" w:hAnsi="Lucida Grande"/>
      <w:sz w:val="18"/>
      <w:szCs w:val="18"/>
    </w:rPr>
  </w:style>
  <w:style w:type="character" w:customStyle="1" w:styleId="BalloonTextChar6">
    <w:name w:val="Balloon Text Char6"/>
    <w:basedOn w:val="DefaultParagraphFont"/>
    <w:uiPriority w:val="99"/>
    <w:semiHidden/>
    <w:rsid w:val="00993147"/>
    <w:rPr>
      <w:rFonts w:ascii="Lucida Grande" w:hAnsi="Lucida Grande"/>
      <w:sz w:val="18"/>
      <w:szCs w:val="18"/>
    </w:rPr>
  </w:style>
  <w:style w:type="character" w:customStyle="1" w:styleId="BalloonTextChar5">
    <w:name w:val="Balloon Text Char5"/>
    <w:basedOn w:val="DefaultParagraphFont"/>
    <w:uiPriority w:val="99"/>
    <w:semiHidden/>
    <w:rsid w:val="00993147"/>
    <w:rPr>
      <w:rFonts w:ascii="Lucida Grande" w:hAnsi="Lucida Grande"/>
      <w:sz w:val="18"/>
      <w:szCs w:val="18"/>
    </w:rPr>
  </w:style>
  <w:style w:type="character" w:customStyle="1" w:styleId="BalloonTextChar4">
    <w:name w:val="Balloon Text Char4"/>
    <w:basedOn w:val="DefaultParagraphFont"/>
    <w:uiPriority w:val="99"/>
    <w:semiHidden/>
    <w:rsid w:val="00993147"/>
    <w:rPr>
      <w:rFonts w:ascii="Lucida Grande" w:hAnsi="Lucida Grande"/>
      <w:sz w:val="18"/>
      <w:szCs w:val="18"/>
    </w:rPr>
  </w:style>
  <w:style w:type="character" w:customStyle="1" w:styleId="BalloonTextChar3">
    <w:name w:val="Balloon Text Char3"/>
    <w:basedOn w:val="DefaultParagraphFont"/>
    <w:uiPriority w:val="99"/>
    <w:semiHidden/>
    <w:rsid w:val="00C30FE5"/>
    <w:rPr>
      <w:rFonts w:ascii="Lucida Grande" w:hAnsi="Lucida Grande"/>
      <w:sz w:val="18"/>
      <w:szCs w:val="18"/>
    </w:rPr>
  </w:style>
  <w:style w:type="character" w:customStyle="1" w:styleId="BalloonTextChar20">
    <w:name w:val="Balloon Text Char2"/>
    <w:basedOn w:val="DefaultParagraphFont"/>
    <w:uiPriority w:val="99"/>
    <w:semiHidden/>
    <w:rsid w:val="00545403"/>
    <w:rPr>
      <w:rFonts w:ascii="Lucida Grande" w:hAnsi="Lucida Grande"/>
      <w:sz w:val="18"/>
      <w:szCs w:val="18"/>
    </w:rPr>
  </w:style>
  <w:style w:type="character" w:customStyle="1" w:styleId="Heading1Char">
    <w:name w:val="Heading 1 Char"/>
    <w:basedOn w:val="DefaultParagraphFont"/>
    <w:link w:val="Heading1"/>
    <w:uiPriority w:val="9"/>
    <w:rsid w:val="00E9198E"/>
    <w:rPr>
      <w:rFonts w:ascii="Times New Roman" w:eastAsiaTheme="majorEastAsia" w:hAnsi="Times New Roman" w:cstheme="majorBidi"/>
      <w:b/>
      <w:bCs/>
      <w:sz w:val="36"/>
      <w:szCs w:val="32"/>
    </w:rPr>
  </w:style>
  <w:style w:type="character" w:customStyle="1" w:styleId="Heading2Char">
    <w:name w:val="Heading 2 Char"/>
    <w:basedOn w:val="DefaultParagraphFont"/>
    <w:link w:val="Heading2"/>
    <w:rsid w:val="00B00DE1"/>
    <w:rPr>
      <w:rFonts w:ascii="Times New Roman" w:eastAsia="Times New Roman" w:hAnsi="Times New Roman" w:cs="Arial"/>
      <w:b/>
      <w:sz w:val="32"/>
      <w:szCs w:val="32"/>
    </w:rPr>
  </w:style>
  <w:style w:type="character" w:customStyle="1" w:styleId="Heading3Char">
    <w:name w:val="Heading 3 Char"/>
    <w:basedOn w:val="DefaultParagraphFont"/>
    <w:link w:val="Heading3"/>
    <w:rsid w:val="00E25238"/>
    <w:rPr>
      <w:rFonts w:ascii="Times New Roman" w:eastAsiaTheme="majorEastAsia" w:hAnsi="Times New Roman" w:cs="Times New Roman"/>
      <w:b/>
      <w:bCs/>
      <w:iCs/>
      <w:sz w:val="26"/>
      <w:szCs w:val="26"/>
    </w:rPr>
  </w:style>
  <w:style w:type="character" w:customStyle="1" w:styleId="Heading4Char">
    <w:name w:val="Heading 4 Char"/>
    <w:basedOn w:val="DefaultParagraphFont"/>
    <w:link w:val="Heading4"/>
    <w:rsid w:val="00B00DE1"/>
    <w:rPr>
      <w:rFonts w:asciiTheme="majorHAnsi" w:eastAsiaTheme="majorEastAsia" w:hAnsiTheme="majorHAnsi" w:cstheme="majorBidi"/>
      <w:b/>
      <w:bCs/>
      <w:iCs/>
    </w:rPr>
  </w:style>
  <w:style w:type="character" w:customStyle="1" w:styleId="Heading5Char">
    <w:name w:val="Heading 5 Char"/>
    <w:basedOn w:val="DefaultParagraphFont"/>
    <w:link w:val="Heading5"/>
    <w:rsid w:val="00B00DE1"/>
    <w:rPr>
      <w:rFonts w:ascii="Arial" w:eastAsiaTheme="majorEastAsia" w:hAnsi="Arial" w:cstheme="majorBidi"/>
      <w:b/>
    </w:rPr>
  </w:style>
  <w:style w:type="paragraph" w:styleId="Caption">
    <w:name w:val="caption"/>
    <w:basedOn w:val="Normal"/>
    <w:next w:val="Normal"/>
    <w:qFormat/>
    <w:rsid w:val="00B00DE1"/>
    <w:rPr>
      <w:b/>
      <w:bCs/>
      <w:sz w:val="20"/>
      <w:szCs w:val="20"/>
    </w:rPr>
  </w:style>
  <w:style w:type="paragraph" w:customStyle="1" w:styleId="referencessinglespaceinternal">
    <w:name w:val="references single space internal"/>
    <w:basedOn w:val="Normal"/>
    <w:qFormat/>
    <w:rsid w:val="00B00DE1"/>
    <w:pPr>
      <w:tabs>
        <w:tab w:val="left" w:pos="1340"/>
        <w:tab w:val="left" w:pos="2780"/>
        <w:tab w:val="left" w:pos="4320"/>
        <w:tab w:val="left" w:pos="5760"/>
        <w:tab w:val="left" w:pos="7200"/>
      </w:tabs>
      <w:spacing w:after="240" w:line="240" w:lineRule="auto"/>
      <w:ind w:left="720" w:hanging="720"/>
      <w:contextualSpacing/>
    </w:pPr>
    <w:rPr>
      <w:rFonts w:eastAsia="Times New Roman" w:cs="Times New Roman"/>
    </w:rPr>
  </w:style>
  <w:style w:type="paragraph" w:styleId="FootnoteText">
    <w:name w:val="footnote text"/>
    <w:basedOn w:val="Normal"/>
    <w:link w:val="FootnoteTextChar"/>
    <w:autoRedefine/>
    <w:qFormat/>
    <w:rsid w:val="0093066C"/>
    <w:pPr>
      <w:widowControl w:val="0"/>
      <w:spacing w:after="240" w:line="240" w:lineRule="auto"/>
      <w:ind w:firstLine="0"/>
      <w:contextualSpacing/>
    </w:pPr>
    <w:rPr>
      <w:rFonts w:eastAsia="Times New Roman" w:cs="Times New Roman"/>
    </w:rPr>
  </w:style>
  <w:style w:type="character" w:customStyle="1" w:styleId="FootnoteTextChar">
    <w:name w:val="Footnote Text Char"/>
    <w:basedOn w:val="DefaultParagraphFont"/>
    <w:link w:val="FootnoteText"/>
    <w:rsid w:val="0093066C"/>
    <w:rPr>
      <w:rFonts w:ascii="Times New Roman" w:eastAsia="Times New Roman" w:hAnsi="Times New Roman" w:cs="Times New Roman"/>
    </w:rPr>
  </w:style>
  <w:style w:type="character" w:styleId="FootnoteReference">
    <w:name w:val="footnote reference"/>
    <w:basedOn w:val="DefaultParagraphFont"/>
    <w:uiPriority w:val="99"/>
    <w:rsid w:val="00B00DE1"/>
    <w:rPr>
      <w:vertAlign w:val="superscript"/>
    </w:rPr>
  </w:style>
  <w:style w:type="paragraph" w:styleId="Header">
    <w:name w:val="header"/>
    <w:basedOn w:val="Normal"/>
    <w:link w:val="HeaderChar"/>
    <w:uiPriority w:val="99"/>
    <w:unhideWhenUsed/>
    <w:rsid w:val="00B00DE1"/>
    <w:pPr>
      <w:tabs>
        <w:tab w:val="center" w:pos="4680"/>
        <w:tab w:val="right" w:pos="9360"/>
      </w:tabs>
      <w:contextualSpacing/>
    </w:pPr>
    <w:rPr>
      <w:rFonts w:eastAsia="Times New Roman" w:cs="Times New Roman"/>
    </w:rPr>
  </w:style>
  <w:style w:type="character" w:customStyle="1" w:styleId="HeaderChar">
    <w:name w:val="Header Char"/>
    <w:basedOn w:val="DefaultParagraphFont"/>
    <w:link w:val="Header"/>
    <w:uiPriority w:val="99"/>
    <w:rsid w:val="00B00DE1"/>
    <w:rPr>
      <w:rFonts w:ascii="Times New Roman" w:eastAsia="Times New Roman" w:hAnsi="Times New Roman" w:cs="Times New Roman"/>
    </w:rPr>
  </w:style>
  <w:style w:type="paragraph" w:styleId="Footer">
    <w:name w:val="footer"/>
    <w:basedOn w:val="Normal"/>
    <w:link w:val="FooterChar"/>
    <w:uiPriority w:val="99"/>
    <w:unhideWhenUsed/>
    <w:rsid w:val="00B00DE1"/>
    <w:pPr>
      <w:tabs>
        <w:tab w:val="center" w:pos="4680"/>
        <w:tab w:val="right" w:pos="9360"/>
      </w:tabs>
      <w:contextualSpacing/>
    </w:pPr>
    <w:rPr>
      <w:rFonts w:eastAsia="Times New Roman" w:cs="Times New Roman"/>
    </w:rPr>
  </w:style>
  <w:style w:type="character" w:customStyle="1" w:styleId="FooterChar">
    <w:name w:val="Footer Char"/>
    <w:basedOn w:val="DefaultParagraphFont"/>
    <w:link w:val="Footer"/>
    <w:uiPriority w:val="99"/>
    <w:rsid w:val="00B00DE1"/>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B00DE1"/>
    <w:rPr>
      <w:rFonts w:ascii="Tahoma" w:eastAsia="Times New Roman" w:hAnsi="Tahoma" w:cs="Tahoma"/>
      <w:sz w:val="16"/>
      <w:szCs w:val="16"/>
    </w:rPr>
  </w:style>
  <w:style w:type="paragraph" w:styleId="ListParagraph">
    <w:name w:val="List Paragraph"/>
    <w:basedOn w:val="Normal"/>
    <w:uiPriority w:val="34"/>
    <w:qFormat/>
    <w:rsid w:val="00B00DE1"/>
    <w:pPr>
      <w:ind w:left="720"/>
      <w:contextualSpacing/>
    </w:pPr>
    <w:rPr>
      <w:rFonts w:eastAsia="Times New Roman" w:cs="Times New Roman"/>
    </w:rPr>
  </w:style>
  <w:style w:type="character" w:styleId="Hyperlink">
    <w:name w:val="Hyperlink"/>
    <w:basedOn w:val="DefaultParagraphFont"/>
    <w:uiPriority w:val="99"/>
    <w:unhideWhenUsed/>
    <w:rsid w:val="00B00DE1"/>
    <w:rPr>
      <w:color w:val="0000FF" w:themeColor="hyperlink"/>
      <w:u w:val="single"/>
    </w:rPr>
  </w:style>
  <w:style w:type="paragraph" w:styleId="NormalWeb">
    <w:name w:val="Normal (Web)"/>
    <w:basedOn w:val="Normal"/>
    <w:unhideWhenUsed/>
    <w:rsid w:val="00B00DE1"/>
    <w:pPr>
      <w:spacing w:before="100" w:beforeAutospacing="1" w:after="100" w:afterAutospacing="1"/>
      <w:contextualSpacing/>
    </w:pPr>
    <w:rPr>
      <w:rFonts w:cs="Times New Roman"/>
    </w:rPr>
  </w:style>
  <w:style w:type="character" w:styleId="CommentReference">
    <w:name w:val="annotation reference"/>
    <w:basedOn w:val="DefaultParagraphFont"/>
    <w:uiPriority w:val="99"/>
    <w:unhideWhenUsed/>
    <w:rsid w:val="00B00DE1"/>
    <w:rPr>
      <w:sz w:val="16"/>
      <w:szCs w:val="16"/>
    </w:rPr>
  </w:style>
  <w:style w:type="paragraph" w:styleId="CommentText">
    <w:name w:val="annotation text"/>
    <w:basedOn w:val="Normal"/>
    <w:link w:val="CommentTextChar"/>
    <w:uiPriority w:val="99"/>
    <w:unhideWhenUsed/>
    <w:rsid w:val="00B00DE1"/>
    <w:pPr>
      <w:contextualSpacing/>
    </w:pPr>
    <w:rPr>
      <w:rFonts w:eastAsia="Times New Roman" w:cs="Times New Roman"/>
      <w:sz w:val="20"/>
    </w:rPr>
  </w:style>
  <w:style w:type="character" w:customStyle="1" w:styleId="CommentTextChar">
    <w:name w:val="Comment Text Char"/>
    <w:basedOn w:val="DefaultParagraphFont"/>
    <w:link w:val="CommentText"/>
    <w:uiPriority w:val="99"/>
    <w:rsid w:val="00B00DE1"/>
    <w:rPr>
      <w:rFonts w:ascii="Times New Roman" w:eastAsia="Times New Roman" w:hAnsi="Times New Roman" w:cs="Times New Roman"/>
      <w:sz w:val="20"/>
    </w:rPr>
  </w:style>
  <w:style w:type="paragraph" w:styleId="CommentSubject">
    <w:name w:val="annotation subject"/>
    <w:basedOn w:val="CommentText"/>
    <w:next w:val="CommentText"/>
    <w:link w:val="CommentSubjectChar"/>
    <w:uiPriority w:val="99"/>
    <w:unhideWhenUsed/>
    <w:rsid w:val="00B00DE1"/>
    <w:rPr>
      <w:b/>
      <w:bCs/>
    </w:rPr>
  </w:style>
  <w:style w:type="character" w:customStyle="1" w:styleId="CommentSubjectChar">
    <w:name w:val="Comment Subject Char"/>
    <w:basedOn w:val="CommentTextChar"/>
    <w:link w:val="CommentSubject"/>
    <w:uiPriority w:val="99"/>
    <w:rsid w:val="00B00DE1"/>
    <w:rPr>
      <w:rFonts w:ascii="Times New Roman" w:eastAsia="Times New Roman" w:hAnsi="Times New Roman" w:cs="Times New Roman"/>
      <w:b/>
      <w:bCs/>
      <w:sz w:val="20"/>
    </w:rPr>
  </w:style>
  <w:style w:type="character" w:styleId="Strong">
    <w:name w:val="Strong"/>
    <w:basedOn w:val="DefaultParagraphFont"/>
    <w:qFormat/>
    <w:rsid w:val="00B00DE1"/>
    <w:rPr>
      <w:b/>
      <w:bCs/>
    </w:rPr>
  </w:style>
  <w:style w:type="paragraph" w:styleId="Title">
    <w:name w:val="Title"/>
    <w:basedOn w:val="Normal"/>
    <w:next w:val="Normal"/>
    <w:link w:val="TitleChar"/>
    <w:qFormat/>
    <w:rsid w:val="00B00D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00DE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0DE1"/>
    <w:pPr>
      <w:spacing w:after="0"/>
      <w:ind w:firstLine="720"/>
    </w:pPr>
    <w:rPr>
      <w:rFonts w:ascii="Times New Roman" w:eastAsia="Times New Roman" w:hAnsi="Times New Roman" w:cs="Times New Roman"/>
    </w:rPr>
  </w:style>
  <w:style w:type="paragraph" w:customStyle="1" w:styleId="footnote">
    <w:name w:val="footnote"/>
    <w:basedOn w:val="FootnoteText"/>
    <w:link w:val="footnoteChar"/>
    <w:qFormat/>
    <w:rsid w:val="00B00DE1"/>
    <w:pPr>
      <w:keepLines/>
      <w:spacing w:after="120"/>
      <w:contextualSpacing w:val="0"/>
    </w:pPr>
  </w:style>
  <w:style w:type="character" w:customStyle="1" w:styleId="footnoteChar">
    <w:name w:val="footnote Char"/>
    <w:basedOn w:val="FootnoteTextChar"/>
    <w:link w:val="footnote"/>
    <w:rsid w:val="00B00DE1"/>
    <w:rPr>
      <w:rFonts w:ascii="Times New Roman" w:eastAsia="Times New Roman" w:hAnsi="Times New Roman" w:cs="Times New Roman"/>
    </w:rPr>
  </w:style>
  <w:style w:type="numbering" w:customStyle="1" w:styleId="NoList1">
    <w:name w:val="No List1"/>
    <w:next w:val="NoList"/>
    <w:semiHidden/>
    <w:unhideWhenUsed/>
    <w:rsid w:val="00B00DE1"/>
  </w:style>
  <w:style w:type="numbering" w:customStyle="1" w:styleId="NoList2">
    <w:name w:val="No List2"/>
    <w:next w:val="NoList"/>
    <w:semiHidden/>
    <w:unhideWhenUsed/>
    <w:rsid w:val="00B00DE1"/>
  </w:style>
  <w:style w:type="numbering" w:customStyle="1" w:styleId="NoList3">
    <w:name w:val="No List3"/>
    <w:next w:val="NoList"/>
    <w:semiHidden/>
    <w:unhideWhenUsed/>
    <w:rsid w:val="00B00DE1"/>
  </w:style>
  <w:style w:type="numbering" w:customStyle="1" w:styleId="NoList4">
    <w:name w:val="No List4"/>
    <w:next w:val="NoList"/>
    <w:semiHidden/>
    <w:unhideWhenUsed/>
    <w:rsid w:val="00B00DE1"/>
  </w:style>
  <w:style w:type="numbering" w:customStyle="1" w:styleId="NoList5">
    <w:name w:val="No List5"/>
    <w:next w:val="NoList"/>
    <w:semiHidden/>
    <w:unhideWhenUsed/>
    <w:rsid w:val="00B00DE1"/>
  </w:style>
  <w:style w:type="numbering" w:customStyle="1" w:styleId="NoList6">
    <w:name w:val="No List6"/>
    <w:next w:val="NoList"/>
    <w:semiHidden/>
    <w:unhideWhenUsed/>
    <w:rsid w:val="00B00DE1"/>
  </w:style>
  <w:style w:type="numbering" w:customStyle="1" w:styleId="NoList7">
    <w:name w:val="No List7"/>
    <w:next w:val="NoList"/>
    <w:semiHidden/>
    <w:unhideWhenUsed/>
    <w:rsid w:val="00B00DE1"/>
  </w:style>
  <w:style w:type="paragraph" w:styleId="Revision">
    <w:name w:val="Revision"/>
    <w:hidden/>
    <w:rsid w:val="00B00DE1"/>
    <w:pPr>
      <w:spacing w:after="0"/>
    </w:pPr>
    <w:rPr>
      <w:rFonts w:ascii="Times New Roman" w:eastAsia="Times New Roman" w:hAnsi="Times New Roman" w:cs="Times New Roman"/>
    </w:rPr>
  </w:style>
  <w:style w:type="numbering" w:customStyle="1" w:styleId="NoList8">
    <w:name w:val="No List8"/>
    <w:next w:val="NoList"/>
    <w:uiPriority w:val="99"/>
    <w:semiHidden/>
    <w:unhideWhenUsed/>
    <w:rsid w:val="00B00DE1"/>
  </w:style>
  <w:style w:type="numbering" w:customStyle="1" w:styleId="NoList11">
    <w:name w:val="No List11"/>
    <w:next w:val="NoList"/>
    <w:semiHidden/>
    <w:unhideWhenUsed/>
    <w:rsid w:val="00B00DE1"/>
  </w:style>
  <w:style w:type="numbering" w:customStyle="1" w:styleId="NoList21">
    <w:name w:val="No List21"/>
    <w:next w:val="NoList"/>
    <w:semiHidden/>
    <w:unhideWhenUsed/>
    <w:rsid w:val="00B00DE1"/>
  </w:style>
  <w:style w:type="numbering" w:customStyle="1" w:styleId="NoList31">
    <w:name w:val="No List31"/>
    <w:next w:val="NoList"/>
    <w:semiHidden/>
    <w:unhideWhenUsed/>
    <w:rsid w:val="00B00DE1"/>
  </w:style>
  <w:style w:type="numbering" w:customStyle="1" w:styleId="NoList41">
    <w:name w:val="No List41"/>
    <w:next w:val="NoList"/>
    <w:semiHidden/>
    <w:unhideWhenUsed/>
    <w:rsid w:val="00B00DE1"/>
  </w:style>
  <w:style w:type="numbering" w:customStyle="1" w:styleId="NoList51">
    <w:name w:val="No List51"/>
    <w:next w:val="NoList"/>
    <w:semiHidden/>
    <w:unhideWhenUsed/>
    <w:rsid w:val="00B00DE1"/>
  </w:style>
  <w:style w:type="numbering" w:customStyle="1" w:styleId="NoList61">
    <w:name w:val="No List61"/>
    <w:next w:val="NoList"/>
    <w:semiHidden/>
    <w:unhideWhenUsed/>
    <w:rsid w:val="00B00DE1"/>
  </w:style>
  <w:style w:type="numbering" w:customStyle="1" w:styleId="NoList71">
    <w:name w:val="No List71"/>
    <w:next w:val="NoList"/>
    <w:semiHidden/>
    <w:unhideWhenUsed/>
    <w:rsid w:val="00B00DE1"/>
  </w:style>
  <w:style w:type="character" w:customStyle="1" w:styleId="apple-converted-space">
    <w:name w:val="apple-converted-space"/>
    <w:basedOn w:val="DefaultParagraphFont"/>
    <w:rsid w:val="00B00DE1"/>
  </w:style>
  <w:style w:type="character" w:styleId="PageNumber">
    <w:name w:val="page number"/>
    <w:basedOn w:val="DefaultParagraphFont"/>
    <w:uiPriority w:val="99"/>
    <w:semiHidden/>
    <w:unhideWhenUsed/>
    <w:rsid w:val="002147E8"/>
  </w:style>
  <w:style w:type="table" w:styleId="TableGrid">
    <w:name w:val="Table Grid"/>
    <w:basedOn w:val="TableNormal"/>
    <w:rsid w:val="00F24CC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74647">
      <w:bodyDiv w:val="1"/>
      <w:marLeft w:val="0"/>
      <w:marRight w:val="0"/>
      <w:marTop w:val="0"/>
      <w:marBottom w:val="0"/>
      <w:divBdr>
        <w:top w:val="none" w:sz="0" w:space="0" w:color="auto"/>
        <w:left w:val="none" w:sz="0" w:space="0" w:color="auto"/>
        <w:bottom w:val="none" w:sz="0" w:space="0" w:color="auto"/>
        <w:right w:val="none" w:sz="0" w:space="0" w:color="auto"/>
      </w:divBdr>
    </w:div>
    <w:div w:id="55127637">
      <w:bodyDiv w:val="1"/>
      <w:marLeft w:val="0"/>
      <w:marRight w:val="0"/>
      <w:marTop w:val="0"/>
      <w:marBottom w:val="0"/>
      <w:divBdr>
        <w:top w:val="none" w:sz="0" w:space="0" w:color="auto"/>
        <w:left w:val="none" w:sz="0" w:space="0" w:color="auto"/>
        <w:bottom w:val="none" w:sz="0" w:space="0" w:color="auto"/>
        <w:right w:val="none" w:sz="0" w:space="0" w:color="auto"/>
      </w:divBdr>
      <w:divsChild>
        <w:div w:id="848451290">
          <w:marLeft w:val="0"/>
          <w:marRight w:val="0"/>
          <w:marTop w:val="0"/>
          <w:marBottom w:val="0"/>
          <w:divBdr>
            <w:top w:val="none" w:sz="0" w:space="0" w:color="auto"/>
            <w:left w:val="none" w:sz="0" w:space="0" w:color="auto"/>
            <w:bottom w:val="none" w:sz="0" w:space="0" w:color="auto"/>
            <w:right w:val="none" w:sz="0" w:space="0" w:color="auto"/>
          </w:divBdr>
        </w:div>
      </w:divsChild>
    </w:div>
    <w:div w:id="119960361">
      <w:bodyDiv w:val="1"/>
      <w:marLeft w:val="0"/>
      <w:marRight w:val="0"/>
      <w:marTop w:val="0"/>
      <w:marBottom w:val="0"/>
      <w:divBdr>
        <w:top w:val="none" w:sz="0" w:space="0" w:color="auto"/>
        <w:left w:val="none" w:sz="0" w:space="0" w:color="auto"/>
        <w:bottom w:val="none" w:sz="0" w:space="0" w:color="auto"/>
        <w:right w:val="none" w:sz="0" w:space="0" w:color="auto"/>
      </w:divBdr>
    </w:div>
    <w:div w:id="276453450">
      <w:bodyDiv w:val="1"/>
      <w:marLeft w:val="0"/>
      <w:marRight w:val="0"/>
      <w:marTop w:val="0"/>
      <w:marBottom w:val="0"/>
      <w:divBdr>
        <w:top w:val="none" w:sz="0" w:space="0" w:color="auto"/>
        <w:left w:val="none" w:sz="0" w:space="0" w:color="auto"/>
        <w:bottom w:val="none" w:sz="0" w:space="0" w:color="auto"/>
        <w:right w:val="none" w:sz="0" w:space="0" w:color="auto"/>
      </w:divBdr>
    </w:div>
    <w:div w:id="364017958">
      <w:bodyDiv w:val="1"/>
      <w:marLeft w:val="0"/>
      <w:marRight w:val="0"/>
      <w:marTop w:val="0"/>
      <w:marBottom w:val="0"/>
      <w:divBdr>
        <w:top w:val="none" w:sz="0" w:space="0" w:color="auto"/>
        <w:left w:val="none" w:sz="0" w:space="0" w:color="auto"/>
        <w:bottom w:val="none" w:sz="0" w:space="0" w:color="auto"/>
        <w:right w:val="none" w:sz="0" w:space="0" w:color="auto"/>
      </w:divBdr>
    </w:div>
    <w:div w:id="428742902">
      <w:bodyDiv w:val="1"/>
      <w:marLeft w:val="0"/>
      <w:marRight w:val="0"/>
      <w:marTop w:val="0"/>
      <w:marBottom w:val="0"/>
      <w:divBdr>
        <w:top w:val="none" w:sz="0" w:space="0" w:color="auto"/>
        <w:left w:val="none" w:sz="0" w:space="0" w:color="auto"/>
        <w:bottom w:val="none" w:sz="0" w:space="0" w:color="auto"/>
        <w:right w:val="none" w:sz="0" w:space="0" w:color="auto"/>
      </w:divBdr>
    </w:div>
    <w:div w:id="658077773">
      <w:bodyDiv w:val="1"/>
      <w:marLeft w:val="0"/>
      <w:marRight w:val="0"/>
      <w:marTop w:val="0"/>
      <w:marBottom w:val="0"/>
      <w:divBdr>
        <w:top w:val="none" w:sz="0" w:space="0" w:color="auto"/>
        <w:left w:val="none" w:sz="0" w:space="0" w:color="auto"/>
        <w:bottom w:val="none" w:sz="0" w:space="0" w:color="auto"/>
        <w:right w:val="none" w:sz="0" w:space="0" w:color="auto"/>
      </w:divBdr>
    </w:div>
    <w:div w:id="1178228545">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image" Target="media/image1.png"/><Relationship Id="rId14" Type="http://schemas.openxmlformats.org/officeDocument/2006/relationships/hyperlink" Target="http://frwebgate.access.gpo.gov/cgi-bin/getdoc.cgi?dbname=110_cong_public_laws&amp;docid=f:publ055.110.pdf" TargetMode="External"/><Relationship Id="rId15" Type="http://schemas.openxmlformats.org/officeDocument/2006/relationships/hyperlink" Target="http://uscode.house.gov/quicksearch/get.plx?title=50&amp;section=1803"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F4D3-DED5-477A-8F61-E51BC853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10506</Words>
  <Characters>60286</Characters>
  <Application>Microsoft Word 12.0.0</Application>
  <DocSecurity>0</DocSecurity>
  <Lines>1419</Lines>
  <Paragraphs>586</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70385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Guenther</dc:creator>
  <cp:lastModifiedBy>Scott Guenther</cp:lastModifiedBy>
  <cp:revision>5</cp:revision>
  <cp:lastPrinted>2016-01-03T21:56:00Z</cp:lastPrinted>
  <dcterms:created xsi:type="dcterms:W3CDTF">2016-01-07T18:35:00Z</dcterms:created>
  <dcterms:modified xsi:type="dcterms:W3CDTF">2016-01-08T00:19:00Z</dcterms:modified>
</cp:coreProperties>
</file>